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6AAE9" w14:textId="60E66632" w:rsidR="00B62E0F" w:rsidRPr="00136BD8" w:rsidRDefault="00385FB8" w:rsidP="00385FB8">
      <w:pPr>
        <w:pStyle w:val="Heading4"/>
        <w:numPr>
          <w:ilvl w:val="0"/>
          <w:numId w:val="0"/>
        </w:numPr>
        <w:jc w:val="center"/>
      </w:pPr>
      <w:bookmarkStart w:id="0" w:name="_GoBack"/>
      <w:bookmarkEnd w:id="0"/>
      <w:r w:rsidRPr="00136BD8">
        <w:t xml:space="preserve">PROCEDURE FOR </w:t>
      </w:r>
      <w:r>
        <w:t>ACCESS</w:t>
      </w:r>
      <w:r w:rsidRPr="00136BD8">
        <w:t xml:space="preserve">, </w:t>
      </w:r>
      <w:r>
        <w:rPr>
          <w:lang w:eastAsia="en-GB"/>
        </w:rPr>
        <w:t>M</w:t>
      </w:r>
      <w:r w:rsidRPr="00136BD8">
        <w:rPr>
          <w:lang w:eastAsia="en-GB"/>
        </w:rPr>
        <w:t xml:space="preserve">INING AND </w:t>
      </w:r>
      <w:r>
        <w:rPr>
          <w:lang w:eastAsia="en-GB"/>
        </w:rPr>
        <w:t>V</w:t>
      </w:r>
      <w:r w:rsidRPr="00136BD8">
        <w:rPr>
          <w:lang w:eastAsia="en-GB"/>
        </w:rPr>
        <w:t xml:space="preserve">ERIFICATION OF </w:t>
      </w:r>
      <w:r w:rsidRPr="00136BD8">
        <w:t xml:space="preserve">THE </w:t>
      </w:r>
      <w:r>
        <w:t xml:space="preserve">NSR </w:t>
      </w:r>
      <w:r w:rsidRPr="00136BD8">
        <w:t xml:space="preserve">BY </w:t>
      </w:r>
      <w:r>
        <w:t>O</w:t>
      </w:r>
      <w:r w:rsidRPr="00136BD8">
        <w:t xml:space="preserve">THER </w:t>
      </w:r>
      <w:r>
        <w:t>SOCIAL SAFETY NETS A</w:t>
      </w:r>
      <w:r w:rsidRPr="00136BD8">
        <w:t>GENCIES</w:t>
      </w:r>
    </w:p>
    <w:p w14:paraId="2D976EBC" w14:textId="7B68461C" w:rsidR="00B62E0F" w:rsidRPr="003855E8" w:rsidRDefault="00B62E0F" w:rsidP="00B62E0F">
      <w:pPr>
        <w:shd w:val="clear" w:color="auto" w:fill="FFFFFF"/>
        <w:ind w:left="10" w:right="34"/>
        <w:jc w:val="both"/>
        <w:rPr>
          <w:sz w:val="24"/>
          <w:szCs w:val="24"/>
        </w:rPr>
      </w:pPr>
      <w:r w:rsidRPr="003855E8">
        <w:rPr>
          <w:sz w:val="24"/>
          <w:szCs w:val="24"/>
        </w:rPr>
        <w:t xml:space="preserve">With the NSR set up, the database of poor and vulnerable is available for </w:t>
      </w:r>
      <w:r w:rsidR="0073215A">
        <w:rPr>
          <w:sz w:val="24"/>
          <w:szCs w:val="24"/>
        </w:rPr>
        <w:t>mining by potential</w:t>
      </w:r>
      <w:r w:rsidRPr="003855E8">
        <w:rPr>
          <w:sz w:val="24"/>
          <w:szCs w:val="24"/>
        </w:rPr>
        <w:t xml:space="preserve"> program beneficiaries. Any intervention agency that wishes to select potential beneficiaries from the NSR makes a formal request to NASSCO which must detail the location of the intervention and criteria for mining/selecting the beneficiaries, and be accompanied by the project brief, including its objective, funding sources, duration, etc. This could include an in-person briefing to NASSCO by the requesting entity to ensure that the requesting entity is willing to adhere to and sign an MOU on beneficiaries and data usage protocols.</w:t>
      </w:r>
    </w:p>
    <w:p w14:paraId="257FDDB8" w14:textId="156F717F" w:rsidR="00B62E0F" w:rsidRPr="003855E8" w:rsidRDefault="00B62E0F" w:rsidP="00B62E0F">
      <w:pPr>
        <w:shd w:val="clear" w:color="auto" w:fill="FFFFFF"/>
        <w:ind w:left="5"/>
        <w:jc w:val="both"/>
        <w:rPr>
          <w:sz w:val="24"/>
          <w:szCs w:val="24"/>
        </w:rPr>
      </w:pPr>
      <w:r w:rsidRPr="003855E8">
        <w:rPr>
          <w:sz w:val="24"/>
          <w:szCs w:val="24"/>
        </w:rPr>
        <w:t xml:space="preserve">Once the request is approved, a date is fixed for the head of the requesting agency to visit NASSCO for the mining exercise. Once mining is completed, the selected beneficiaries are tagged with the name of the agency or intervention for which they have been selected. The Head of NSR provides hard and soft copies of the beneficiary list to the requestor and the NASSCO </w:t>
      </w:r>
      <w:r w:rsidR="0073215A">
        <w:rPr>
          <w:sz w:val="24"/>
          <w:szCs w:val="24"/>
        </w:rPr>
        <w:t>SR.</w:t>
      </w:r>
      <w:r w:rsidRPr="003855E8">
        <w:rPr>
          <w:sz w:val="24"/>
          <w:szCs w:val="24"/>
        </w:rPr>
        <w:t xml:space="preserve"> Operations</w:t>
      </w:r>
      <w:r w:rsidR="0073215A">
        <w:rPr>
          <w:sz w:val="24"/>
          <w:szCs w:val="24"/>
        </w:rPr>
        <w:t xml:space="preserve"> and Oversight Manger</w:t>
      </w:r>
      <w:r w:rsidRPr="003855E8">
        <w:rPr>
          <w:sz w:val="24"/>
          <w:szCs w:val="24"/>
        </w:rPr>
        <w:t xml:space="preserve">, while keeping a hard copy in a file dedicated to that agency. </w:t>
      </w:r>
    </w:p>
    <w:p w14:paraId="487A4DF6" w14:textId="67445036" w:rsidR="00473D27" w:rsidRDefault="00B62E0F" w:rsidP="008F1D55">
      <w:pPr>
        <w:shd w:val="clear" w:color="auto" w:fill="FFFFFF"/>
        <w:ind w:left="19" w:right="91"/>
        <w:jc w:val="both"/>
        <w:rPr>
          <w:sz w:val="24"/>
          <w:szCs w:val="24"/>
        </w:rPr>
      </w:pPr>
      <w:r w:rsidRPr="003855E8">
        <w:rPr>
          <w:sz w:val="24"/>
          <w:szCs w:val="24"/>
        </w:rPr>
        <w:t xml:space="preserve">At the agency level, contact is established with the potential beneficiaries and any mismatch (i.e. if someone is deceased or </w:t>
      </w:r>
      <w:r>
        <w:rPr>
          <w:sz w:val="24"/>
          <w:szCs w:val="24"/>
        </w:rPr>
        <w:t xml:space="preserve">has </w:t>
      </w:r>
      <w:r w:rsidRPr="003855E8">
        <w:rPr>
          <w:sz w:val="24"/>
          <w:szCs w:val="24"/>
        </w:rPr>
        <w:t>migrated after enumeration) is immediately reported</w:t>
      </w:r>
      <w:r>
        <w:rPr>
          <w:sz w:val="24"/>
          <w:szCs w:val="24"/>
        </w:rPr>
        <w:t xml:space="preserve"> to SOCU and NASSCO for update of</w:t>
      </w:r>
      <w:r w:rsidRPr="003855E8">
        <w:rPr>
          <w:sz w:val="24"/>
          <w:szCs w:val="24"/>
        </w:rPr>
        <w:t xml:space="preserve"> the </w:t>
      </w:r>
      <w:r>
        <w:rPr>
          <w:sz w:val="24"/>
          <w:szCs w:val="24"/>
        </w:rPr>
        <w:t>SSR/</w:t>
      </w:r>
      <w:r w:rsidRPr="003855E8">
        <w:rPr>
          <w:sz w:val="24"/>
          <w:szCs w:val="24"/>
        </w:rPr>
        <w:t>NSR and providing necessary replacements to the agency. On a half-yearly bas</w:t>
      </w:r>
      <w:r>
        <w:rPr>
          <w:sz w:val="24"/>
          <w:szCs w:val="24"/>
        </w:rPr>
        <w:t xml:space="preserve">is, </w:t>
      </w:r>
      <w:r w:rsidRPr="003855E8">
        <w:rPr>
          <w:sz w:val="24"/>
          <w:szCs w:val="24"/>
        </w:rPr>
        <w:t>NASSCO</w:t>
      </w:r>
      <w:r>
        <w:rPr>
          <w:sz w:val="24"/>
          <w:szCs w:val="24"/>
        </w:rPr>
        <w:t>’s</w:t>
      </w:r>
      <w:r w:rsidRPr="003855E8">
        <w:rPr>
          <w:sz w:val="24"/>
          <w:szCs w:val="24"/>
        </w:rPr>
        <w:t xml:space="preserve"> National Coordinator would forward to the World Bank information on the total number of beneficiaries under each intervention, based on monthly returns from respective SOCU Coordinators. This information would also be cross-referenced with periodic reports from third party monitors engaged</w:t>
      </w:r>
      <w:r w:rsidR="008F1D55">
        <w:rPr>
          <w:sz w:val="24"/>
          <w:szCs w:val="24"/>
        </w:rPr>
        <w:t xml:space="preserve">. </w:t>
      </w:r>
      <w:r w:rsidR="00407E0E">
        <w:rPr>
          <w:sz w:val="24"/>
          <w:szCs w:val="24"/>
          <w:lang w:val="en-US"/>
        </w:rPr>
        <w:t xml:space="preserve">The </w:t>
      </w:r>
      <w:r w:rsidR="00336E62">
        <w:rPr>
          <w:sz w:val="24"/>
          <w:szCs w:val="24"/>
          <w:lang w:val="en-US"/>
        </w:rPr>
        <w:t xml:space="preserve">step by step </w:t>
      </w:r>
      <w:r w:rsidR="00336E62">
        <w:rPr>
          <w:sz w:val="24"/>
          <w:szCs w:val="24"/>
        </w:rPr>
        <w:t>details</w:t>
      </w:r>
      <w:r w:rsidR="00407E0E">
        <w:rPr>
          <w:sz w:val="24"/>
          <w:szCs w:val="24"/>
        </w:rPr>
        <w:t xml:space="preserve"> of </w:t>
      </w:r>
      <w:r w:rsidR="00336E62">
        <w:rPr>
          <w:sz w:val="24"/>
          <w:szCs w:val="24"/>
        </w:rPr>
        <w:t xml:space="preserve">the </w:t>
      </w:r>
      <w:r w:rsidR="00407E0E">
        <w:rPr>
          <w:sz w:val="24"/>
          <w:szCs w:val="24"/>
        </w:rPr>
        <w:t>procedure are as contained in the data management protocol</w:t>
      </w:r>
      <w:r w:rsidR="00336E62">
        <w:rPr>
          <w:sz w:val="24"/>
          <w:szCs w:val="24"/>
        </w:rPr>
        <w:t xml:space="preserve"> </w:t>
      </w:r>
      <w:r w:rsidR="008F1D55">
        <w:rPr>
          <w:sz w:val="24"/>
          <w:szCs w:val="24"/>
        </w:rPr>
        <w:t>t</w:t>
      </w:r>
      <w:r w:rsidR="00336E62">
        <w:rPr>
          <w:sz w:val="24"/>
          <w:szCs w:val="24"/>
        </w:rPr>
        <w:t xml:space="preserve">able </w:t>
      </w:r>
      <w:r w:rsidR="008F1D55">
        <w:rPr>
          <w:sz w:val="24"/>
          <w:szCs w:val="24"/>
        </w:rPr>
        <w:t>below.</w:t>
      </w:r>
    </w:p>
    <w:p w14:paraId="3CF241C4" w14:textId="63596721" w:rsidR="008F1D55" w:rsidRPr="008F1D55" w:rsidRDefault="008F1D55" w:rsidP="008F1D55">
      <w:pPr>
        <w:shd w:val="clear" w:color="auto" w:fill="FFFFFF"/>
        <w:ind w:left="19" w:right="91"/>
        <w:jc w:val="center"/>
        <w:rPr>
          <w:b/>
          <w:bCs/>
          <w:sz w:val="24"/>
          <w:szCs w:val="24"/>
        </w:rPr>
      </w:pPr>
      <w:r w:rsidRPr="008F1D55">
        <w:rPr>
          <w:b/>
          <w:bCs/>
          <w:sz w:val="24"/>
          <w:szCs w:val="24"/>
        </w:rPr>
        <w:t>NASSCO DATA MINING PROTOCOL TABLE</w:t>
      </w:r>
    </w:p>
    <w:tbl>
      <w:tblPr>
        <w:tblW w:w="0" w:type="auto"/>
        <w:tblInd w:w="10" w:type="dxa"/>
        <w:tblBorders>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1"/>
        <w:gridCol w:w="2676"/>
        <w:gridCol w:w="5361"/>
      </w:tblGrid>
      <w:tr w:rsidR="002B7455" w:rsidRPr="0074385A" w14:paraId="1CC9ED54" w14:textId="77777777" w:rsidTr="00E87E9B">
        <w:trPr>
          <w:tblHeader/>
        </w:trPr>
        <w:tc>
          <w:tcPr>
            <w:tcW w:w="981" w:type="dxa"/>
            <w:shd w:val="clear" w:color="auto" w:fill="8EAADB" w:themeFill="accent1" w:themeFillTint="99"/>
          </w:tcPr>
          <w:p w14:paraId="102FFB78" w14:textId="77777777" w:rsidR="002B7455" w:rsidRPr="0074385A" w:rsidRDefault="002B7455" w:rsidP="00385FB8">
            <w:pPr>
              <w:spacing w:line="252" w:lineRule="auto"/>
              <w:jc w:val="center"/>
              <w:rPr>
                <w:rFonts w:eastAsia="Times New Roman" w:cs="Tahoma"/>
              </w:rPr>
            </w:pPr>
            <w:r w:rsidRPr="0074385A">
              <w:rPr>
                <w:rFonts w:eastAsia="Times New Roman" w:cs="Tahoma"/>
              </w:rPr>
              <w:t>Steps</w:t>
            </w:r>
          </w:p>
        </w:tc>
        <w:tc>
          <w:tcPr>
            <w:tcW w:w="2676" w:type="dxa"/>
            <w:shd w:val="clear" w:color="auto" w:fill="8EAADB" w:themeFill="accent1" w:themeFillTint="99"/>
          </w:tcPr>
          <w:p w14:paraId="1BCEE830" w14:textId="77777777" w:rsidR="002B7455" w:rsidRPr="0074385A" w:rsidRDefault="002B7455" w:rsidP="00385FB8">
            <w:pPr>
              <w:spacing w:line="252" w:lineRule="auto"/>
              <w:jc w:val="center"/>
              <w:rPr>
                <w:rFonts w:eastAsia="Times New Roman" w:cs="Tahoma"/>
              </w:rPr>
            </w:pPr>
            <w:r w:rsidRPr="0074385A">
              <w:rPr>
                <w:rFonts w:eastAsia="Times New Roman" w:cs="Tahoma"/>
              </w:rPr>
              <w:t>Activity</w:t>
            </w:r>
          </w:p>
        </w:tc>
        <w:tc>
          <w:tcPr>
            <w:tcW w:w="5361" w:type="dxa"/>
            <w:shd w:val="clear" w:color="auto" w:fill="8EAADB" w:themeFill="accent1" w:themeFillTint="99"/>
          </w:tcPr>
          <w:p w14:paraId="6BAE38C0" w14:textId="77777777" w:rsidR="002B7455" w:rsidRPr="0074385A" w:rsidRDefault="002B7455" w:rsidP="00385FB8">
            <w:pPr>
              <w:spacing w:line="252" w:lineRule="auto"/>
              <w:jc w:val="center"/>
              <w:rPr>
                <w:rFonts w:eastAsia="Times New Roman" w:cs="Tahoma"/>
              </w:rPr>
            </w:pPr>
            <w:r w:rsidRPr="0074385A">
              <w:rPr>
                <w:rFonts w:eastAsia="Times New Roman" w:cs="Tahoma"/>
              </w:rPr>
              <w:t xml:space="preserve">Process Description </w:t>
            </w:r>
          </w:p>
          <w:p w14:paraId="15C40A40" w14:textId="77777777" w:rsidR="002B7455" w:rsidRPr="0074385A" w:rsidRDefault="002B7455" w:rsidP="00385FB8">
            <w:pPr>
              <w:spacing w:line="252" w:lineRule="auto"/>
              <w:jc w:val="center"/>
              <w:rPr>
                <w:rFonts w:eastAsia="Times New Roman" w:cs="Tahoma"/>
              </w:rPr>
            </w:pPr>
          </w:p>
        </w:tc>
      </w:tr>
      <w:tr w:rsidR="002B7455" w:rsidRPr="0074385A" w14:paraId="78B42380" w14:textId="77777777" w:rsidTr="00E87E9B">
        <w:tc>
          <w:tcPr>
            <w:tcW w:w="981" w:type="dxa"/>
          </w:tcPr>
          <w:p w14:paraId="09A26C36" w14:textId="77777777" w:rsidR="002B7455" w:rsidRPr="0074385A" w:rsidRDefault="002B7455" w:rsidP="00385FB8">
            <w:pPr>
              <w:spacing w:line="252" w:lineRule="auto"/>
              <w:jc w:val="both"/>
              <w:rPr>
                <w:rFonts w:eastAsia="Times New Roman" w:cs="Tahoma"/>
              </w:rPr>
            </w:pPr>
            <w:r w:rsidRPr="0074385A">
              <w:rPr>
                <w:rFonts w:eastAsia="Times New Roman" w:cs="Tahoma"/>
              </w:rPr>
              <w:t>Step 1</w:t>
            </w:r>
          </w:p>
        </w:tc>
        <w:tc>
          <w:tcPr>
            <w:tcW w:w="2676" w:type="dxa"/>
            <w:shd w:val="clear" w:color="auto" w:fill="auto"/>
          </w:tcPr>
          <w:p w14:paraId="371E0C0A" w14:textId="77777777" w:rsidR="002B7455" w:rsidRPr="0074385A" w:rsidRDefault="002B7455" w:rsidP="00385FB8">
            <w:pPr>
              <w:spacing w:line="252" w:lineRule="auto"/>
              <w:rPr>
                <w:rFonts w:eastAsia="Times New Roman" w:cs="Tahoma"/>
              </w:rPr>
            </w:pPr>
            <w:r w:rsidRPr="0074385A">
              <w:rPr>
                <w:rFonts w:eastAsia="Times New Roman" w:cs="Tahoma"/>
              </w:rPr>
              <w:t>NASSCO Formally Inform SSNs/MDAs</w:t>
            </w:r>
          </w:p>
        </w:tc>
        <w:tc>
          <w:tcPr>
            <w:tcW w:w="5361" w:type="dxa"/>
            <w:shd w:val="clear" w:color="auto" w:fill="auto"/>
          </w:tcPr>
          <w:p w14:paraId="16C0ACDC" w14:textId="77777777" w:rsidR="002B7455" w:rsidRPr="0074385A" w:rsidRDefault="002B7455" w:rsidP="002B7455">
            <w:pPr>
              <w:numPr>
                <w:ilvl w:val="0"/>
                <w:numId w:val="3"/>
              </w:numPr>
              <w:spacing w:line="252" w:lineRule="auto"/>
              <w:contextualSpacing/>
              <w:jc w:val="both"/>
              <w:rPr>
                <w:rFonts w:eastAsia="Times New Roman" w:cs="Tahoma"/>
              </w:rPr>
            </w:pPr>
            <w:r w:rsidRPr="0074385A">
              <w:rPr>
                <w:rFonts w:eastAsia="Times New Roman" w:cs="Tahoma"/>
              </w:rPr>
              <w:t>After the NSR is fully set up, NASSCO formally inform stakeholders (including SSNs and MDAs) of the availability of the database of PVHHs for selection of potential beneficiaries.</w:t>
            </w:r>
          </w:p>
        </w:tc>
      </w:tr>
      <w:tr w:rsidR="002B7455" w:rsidRPr="0074385A" w14:paraId="337D4896" w14:textId="77777777" w:rsidTr="00E87E9B">
        <w:tc>
          <w:tcPr>
            <w:tcW w:w="981" w:type="dxa"/>
          </w:tcPr>
          <w:p w14:paraId="31C2CC74" w14:textId="77777777" w:rsidR="002B7455" w:rsidRPr="0074385A" w:rsidRDefault="002B7455" w:rsidP="00385FB8">
            <w:pPr>
              <w:spacing w:line="252" w:lineRule="auto"/>
              <w:jc w:val="both"/>
              <w:rPr>
                <w:rFonts w:eastAsia="Times New Roman" w:cs="Tahoma"/>
              </w:rPr>
            </w:pPr>
            <w:r w:rsidRPr="0074385A">
              <w:rPr>
                <w:rFonts w:eastAsia="Times New Roman" w:cs="Tahoma"/>
              </w:rPr>
              <w:t>Step 2</w:t>
            </w:r>
          </w:p>
        </w:tc>
        <w:tc>
          <w:tcPr>
            <w:tcW w:w="2676" w:type="dxa"/>
            <w:shd w:val="clear" w:color="auto" w:fill="auto"/>
          </w:tcPr>
          <w:p w14:paraId="192A47CC" w14:textId="77777777" w:rsidR="002B7455" w:rsidRPr="0074385A" w:rsidRDefault="002B7455" w:rsidP="00385FB8">
            <w:pPr>
              <w:spacing w:line="252" w:lineRule="auto"/>
              <w:rPr>
                <w:rFonts w:eastAsia="Times New Roman" w:cs="Tahoma"/>
              </w:rPr>
            </w:pPr>
            <w:r w:rsidRPr="0074385A">
              <w:rPr>
                <w:rFonts w:eastAsia="Times New Roman" w:cs="Tahoma"/>
              </w:rPr>
              <w:t>NASSCO Receives Request for data Mining</w:t>
            </w:r>
          </w:p>
          <w:p w14:paraId="061125CB" w14:textId="77777777" w:rsidR="002B7455" w:rsidRPr="0074385A" w:rsidRDefault="002B7455" w:rsidP="00385FB8">
            <w:pPr>
              <w:spacing w:line="252" w:lineRule="auto"/>
              <w:rPr>
                <w:rFonts w:eastAsia="Times New Roman" w:cs="Tahoma"/>
              </w:rPr>
            </w:pPr>
          </w:p>
        </w:tc>
        <w:tc>
          <w:tcPr>
            <w:tcW w:w="5361" w:type="dxa"/>
            <w:shd w:val="clear" w:color="auto" w:fill="auto"/>
          </w:tcPr>
          <w:p w14:paraId="5AE39790" w14:textId="77777777" w:rsidR="002B7455" w:rsidRPr="0074385A" w:rsidRDefault="002B7455" w:rsidP="002B7455">
            <w:pPr>
              <w:numPr>
                <w:ilvl w:val="0"/>
                <w:numId w:val="3"/>
              </w:numPr>
              <w:spacing w:line="252" w:lineRule="auto"/>
              <w:contextualSpacing/>
              <w:jc w:val="both"/>
              <w:rPr>
                <w:rFonts w:eastAsia="Times New Roman" w:cs="Tahoma"/>
              </w:rPr>
            </w:pPr>
            <w:r w:rsidRPr="0074385A">
              <w:rPr>
                <w:rFonts w:eastAsia="Times New Roman" w:cs="Tahoma"/>
              </w:rPr>
              <w:t>An interested SSN or Intervention Agency submits a formal request to NASSCO of its intention to mine data from the NSR.</w:t>
            </w:r>
          </w:p>
          <w:p w14:paraId="683A5FB4" w14:textId="77777777" w:rsidR="002B7455" w:rsidRPr="0074385A" w:rsidRDefault="002B7455" w:rsidP="002B7455">
            <w:pPr>
              <w:numPr>
                <w:ilvl w:val="0"/>
                <w:numId w:val="3"/>
              </w:numPr>
              <w:spacing w:line="252" w:lineRule="auto"/>
              <w:contextualSpacing/>
              <w:jc w:val="both"/>
              <w:rPr>
                <w:rFonts w:eastAsia="Times New Roman" w:cs="Tahoma"/>
              </w:rPr>
            </w:pPr>
            <w:r w:rsidRPr="0074385A">
              <w:rPr>
                <w:rFonts w:eastAsia="Times New Roman" w:cs="Tahoma"/>
              </w:rPr>
              <w:t>The request will provide the location of the intervention and the specified criteria for mining.</w:t>
            </w:r>
          </w:p>
          <w:p w14:paraId="227667EA" w14:textId="77777777" w:rsidR="002B7455" w:rsidRPr="0074385A" w:rsidRDefault="002B7455" w:rsidP="002B7455">
            <w:pPr>
              <w:numPr>
                <w:ilvl w:val="0"/>
                <w:numId w:val="3"/>
              </w:numPr>
              <w:spacing w:line="252" w:lineRule="auto"/>
              <w:contextualSpacing/>
              <w:jc w:val="both"/>
              <w:rPr>
                <w:rFonts w:eastAsia="Times New Roman" w:cs="Tahoma"/>
              </w:rPr>
            </w:pPr>
            <w:r w:rsidRPr="0074385A">
              <w:rPr>
                <w:rFonts w:eastAsia="Times New Roman" w:cs="Tahoma"/>
              </w:rPr>
              <w:t>Request will include project brief, objectives, funding source and duration and tenor of the program or intervention.</w:t>
            </w:r>
          </w:p>
        </w:tc>
      </w:tr>
      <w:tr w:rsidR="002B7455" w:rsidRPr="0074385A" w14:paraId="77398875" w14:textId="77777777" w:rsidTr="00E87E9B">
        <w:tc>
          <w:tcPr>
            <w:tcW w:w="981" w:type="dxa"/>
          </w:tcPr>
          <w:p w14:paraId="68566E64" w14:textId="77777777" w:rsidR="002B7455" w:rsidRPr="0074385A" w:rsidRDefault="002B7455" w:rsidP="00385FB8">
            <w:pPr>
              <w:spacing w:line="252" w:lineRule="auto"/>
              <w:jc w:val="both"/>
              <w:rPr>
                <w:rFonts w:eastAsia="Times New Roman" w:cs="Tahoma"/>
              </w:rPr>
            </w:pPr>
            <w:r w:rsidRPr="0074385A">
              <w:rPr>
                <w:rFonts w:eastAsia="Times New Roman" w:cs="Tahoma"/>
              </w:rPr>
              <w:lastRenderedPageBreak/>
              <w:t>Step 3</w:t>
            </w:r>
          </w:p>
        </w:tc>
        <w:tc>
          <w:tcPr>
            <w:tcW w:w="2676" w:type="dxa"/>
            <w:shd w:val="clear" w:color="auto" w:fill="auto"/>
          </w:tcPr>
          <w:p w14:paraId="56D5F29B" w14:textId="77777777" w:rsidR="002B7455" w:rsidRPr="0074385A" w:rsidRDefault="002B7455" w:rsidP="00385FB8">
            <w:pPr>
              <w:spacing w:line="252" w:lineRule="auto"/>
              <w:rPr>
                <w:rFonts w:eastAsia="Times New Roman" w:cs="Tahoma"/>
              </w:rPr>
            </w:pPr>
            <w:r w:rsidRPr="0074385A">
              <w:rPr>
                <w:rFonts w:eastAsia="Times New Roman" w:cs="Tahoma"/>
              </w:rPr>
              <w:t xml:space="preserve">Execution of </w:t>
            </w:r>
            <w:r w:rsidRPr="0074385A">
              <w:rPr>
                <w:rFonts w:eastAsia="Times New Roman" w:cs="Tahoma"/>
                <w:lang w:val="yo-NG"/>
              </w:rPr>
              <w:t xml:space="preserve">Agreement </w:t>
            </w:r>
            <w:r w:rsidRPr="0074385A">
              <w:rPr>
                <w:rFonts w:eastAsia="Times New Roman" w:cs="Tahoma"/>
              </w:rPr>
              <w:t>and Data Sharing Protocol</w:t>
            </w:r>
          </w:p>
        </w:tc>
        <w:tc>
          <w:tcPr>
            <w:tcW w:w="5361" w:type="dxa"/>
            <w:shd w:val="clear" w:color="auto" w:fill="auto"/>
          </w:tcPr>
          <w:p w14:paraId="68C8FCF2" w14:textId="77777777" w:rsidR="002B7455" w:rsidRPr="0074385A" w:rsidRDefault="002B7455" w:rsidP="002B7455">
            <w:pPr>
              <w:numPr>
                <w:ilvl w:val="0"/>
                <w:numId w:val="4"/>
              </w:numPr>
              <w:spacing w:line="252" w:lineRule="auto"/>
              <w:contextualSpacing/>
              <w:jc w:val="both"/>
              <w:rPr>
                <w:rFonts w:eastAsia="Times New Roman" w:cs="Tahoma"/>
              </w:rPr>
            </w:pPr>
            <w:r w:rsidRPr="0074385A">
              <w:rPr>
                <w:rFonts w:eastAsia="Times New Roman" w:cs="Tahoma"/>
              </w:rPr>
              <w:t>NASSCO reviews and approve request for data mining.</w:t>
            </w:r>
          </w:p>
          <w:p w14:paraId="019CCB8D" w14:textId="77777777" w:rsidR="002B7455" w:rsidRPr="0074385A" w:rsidRDefault="002B7455" w:rsidP="002B7455">
            <w:pPr>
              <w:numPr>
                <w:ilvl w:val="0"/>
                <w:numId w:val="4"/>
              </w:numPr>
              <w:spacing w:line="252" w:lineRule="auto"/>
              <w:contextualSpacing/>
              <w:jc w:val="both"/>
              <w:rPr>
                <w:rFonts w:eastAsia="Times New Roman" w:cs="Tahoma"/>
              </w:rPr>
            </w:pPr>
            <w:r w:rsidRPr="0074385A">
              <w:rPr>
                <w:rFonts w:eastAsia="Times New Roman" w:cs="Tahoma"/>
              </w:rPr>
              <w:t>A Memorandum of Understanding and Data sharing agreement setting out the obligations of the SSN under the agreement is formally executed between parties.</w:t>
            </w:r>
          </w:p>
        </w:tc>
      </w:tr>
      <w:tr w:rsidR="002B7455" w:rsidRPr="0074385A" w14:paraId="5A582C96" w14:textId="77777777" w:rsidTr="00E87E9B">
        <w:tc>
          <w:tcPr>
            <w:tcW w:w="981" w:type="dxa"/>
          </w:tcPr>
          <w:p w14:paraId="7534DF19" w14:textId="77777777" w:rsidR="002B7455" w:rsidRPr="0074385A" w:rsidRDefault="002B7455" w:rsidP="00385FB8">
            <w:pPr>
              <w:spacing w:line="252" w:lineRule="auto"/>
              <w:jc w:val="both"/>
              <w:rPr>
                <w:rFonts w:eastAsia="Times New Roman" w:cs="Tahoma"/>
              </w:rPr>
            </w:pPr>
            <w:r w:rsidRPr="0074385A">
              <w:rPr>
                <w:rFonts w:eastAsia="Times New Roman" w:cs="Tahoma"/>
              </w:rPr>
              <w:t>Step 4</w:t>
            </w:r>
          </w:p>
        </w:tc>
        <w:tc>
          <w:tcPr>
            <w:tcW w:w="2676" w:type="dxa"/>
            <w:shd w:val="clear" w:color="auto" w:fill="auto"/>
          </w:tcPr>
          <w:p w14:paraId="085FAB5C" w14:textId="77777777" w:rsidR="002B7455" w:rsidRPr="0074385A" w:rsidRDefault="002B7455" w:rsidP="00385FB8">
            <w:pPr>
              <w:spacing w:line="252" w:lineRule="auto"/>
              <w:rPr>
                <w:rFonts w:eastAsia="Times New Roman" w:cs="Tahoma"/>
              </w:rPr>
            </w:pPr>
            <w:r w:rsidRPr="0074385A">
              <w:rPr>
                <w:rFonts w:eastAsia="Times New Roman" w:cs="Tahoma"/>
              </w:rPr>
              <w:t>MIS Pulls out Data for SSNs</w:t>
            </w:r>
          </w:p>
        </w:tc>
        <w:tc>
          <w:tcPr>
            <w:tcW w:w="5361" w:type="dxa"/>
            <w:shd w:val="clear" w:color="auto" w:fill="auto"/>
          </w:tcPr>
          <w:p w14:paraId="593DA3D7" w14:textId="77777777" w:rsidR="002B7455" w:rsidRPr="0074385A" w:rsidRDefault="002B7455" w:rsidP="002B7455">
            <w:pPr>
              <w:numPr>
                <w:ilvl w:val="0"/>
                <w:numId w:val="5"/>
              </w:numPr>
              <w:shd w:val="clear" w:color="auto" w:fill="FFFFFF"/>
              <w:contextualSpacing/>
              <w:jc w:val="both"/>
              <w:rPr>
                <w:rFonts w:eastAsia="Times New Roman" w:cs="Tahoma"/>
              </w:rPr>
            </w:pPr>
            <w:r w:rsidRPr="0074385A">
              <w:rPr>
                <w:rFonts w:eastAsia="Times New Roman" w:cs="Tahoma"/>
              </w:rPr>
              <w:t>On execution of the MoU and approval of the NC, the Head</w:t>
            </w:r>
            <w:r>
              <w:rPr>
                <w:rFonts w:eastAsia="Times New Roman" w:cs="Tahoma"/>
              </w:rPr>
              <w:t xml:space="preserve"> of</w:t>
            </w:r>
            <w:r w:rsidRPr="0074385A">
              <w:rPr>
                <w:rFonts w:eastAsia="Times New Roman" w:cs="Tahoma"/>
              </w:rPr>
              <w:t xml:space="preserve"> NSR authorises the Data </w:t>
            </w:r>
            <w:r w:rsidRPr="0074385A">
              <w:rPr>
                <w:rFonts w:eastAsia="Times New Roman" w:cs="Tahoma"/>
                <w:lang w:val="yo-NG"/>
              </w:rPr>
              <w:t>Analyst</w:t>
            </w:r>
            <w:r w:rsidRPr="0074385A">
              <w:rPr>
                <w:rFonts w:eastAsia="Times New Roman" w:cs="Tahoma"/>
              </w:rPr>
              <w:t xml:space="preserve"> to proceed with the provision of information requested.</w:t>
            </w:r>
          </w:p>
          <w:p w14:paraId="2CC34A85" w14:textId="77777777" w:rsidR="002B7455" w:rsidRPr="0074385A" w:rsidRDefault="002B7455" w:rsidP="002B7455">
            <w:pPr>
              <w:numPr>
                <w:ilvl w:val="0"/>
                <w:numId w:val="5"/>
              </w:numPr>
              <w:shd w:val="clear" w:color="auto" w:fill="FFFFFF"/>
              <w:contextualSpacing/>
              <w:jc w:val="both"/>
              <w:rPr>
                <w:rFonts w:eastAsia="Times New Roman" w:cs="Tahoma"/>
              </w:rPr>
            </w:pPr>
            <w:r w:rsidRPr="0074385A">
              <w:rPr>
                <w:rFonts w:eastAsia="Times New Roman" w:cs="Tahoma"/>
              </w:rPr>
              <w:t xml:space="preserve">Data </w:t>
            </w:r>
            <w:r w:rsidRPr="0074385A">
              <w:rPr>
                <w:rFonts w:eastAsia="Times New Roman" w:cs="Tahoma"/>
                <w:lang w:val="yo-NG"/>
              </w:rPr>
              <w:t>Analyst</w:t>
            </w:r>
            <w:r w:rsidRPr="0074385A">
              <w:rPr>
                <w:rFonts w:eastAsia="Times New Roman" w:cs="Tahoma"/>
              </w:rPr>
              <w:t xml:space="preserve"> interrogate the NSR and pull out data to the MIS platform according to the specified mining criteria</w:t>
            </w:r>
          </w:p>
          <w:p w14:paraId="5B0E9ADE" w14:textId="77777777" w:rsidR="002B7455" w:rsidRPr="0074385A" w:rsidRDefault="002B7455" w:rsidP="002B7455">
            <w:pPr>
              <w:numPr>
                <w:ilvl w:val="0"/>
                <w:numId w:val="5"/>
              </w:numPr>
              <w:spacing w:line="252" w:lineRule="auto"/>
              <w:contextualSpacing/>
              <w:jc w:val="both"/>
              <w:rPr>
                <w:rFonts w:eastAsia="Times New Roman" w:cs="Tahoma"/>
              </w:rPr>
            </w:pPr>
            <w:r w:rsidRPr="0074385A">
              <w:rPr>
                <w:rFonts w:eastAsia="Times New Roman" w:cs="Tahoma"/>
              </w:rPr>
              <w:t xml:space="preserve">MIS Specialist processes data, liaises with the </w:t>
            </w:r>
            <w:r>
              <w:rPr>
                <w:rFonts w:eastAsia="Times New Roman" w:cs="Tahoma"/>
              </w:rPr>
              <w:t>u</w:t>
            </w:r>
            <w:r w:rsidRPr="0074385A">
              <w:rPr>
                <w:rFonts w:eastAsia="Times New Roman" w:cs="Tahoma"/>
              </w:rPr>
              <w:t>ser and grant access to data accordingly.</w:t>
            </w:r>
          </w:p>
        </w:tc>
      </w:tr>
      <w:tr w:rsidR="002B7455" w:rsidRPr="0074385A" w14:paraId="0428AE61" w14:textId="77777777" w:rsidTr="00E87E9B">
        <w:tc>
          <w:tcPr>
            <w:tcW w:w="981" w:type="dxa"/>
          </w:tcPr>
          <w:p w14:paraId="03B34C97" w14:textId="77777777" w:rsidR="002B7455" w:rsidRPr="0074385A" w:rsidRDefault="002B7455" w:rsidP="00385FB8">
            <w:pPr>
              <w:spacing w:line="252" w:lineRule="auto"/>
              <w:jc w:val="both"/>
              <w:rPr>
                <w:rFonts w:eastAsia="Times New Roman" w:cs="Tahoma"/>
              </w:rPr>
            </w:pPr>
            <w:r w:rsidRPr="0074385A">
              <w:rPr>
                <w:rFonts w:eastAsia="Times New Roman" w:cs="Tahoma"/>
              </w:rPr>
              <w:t>Step 5</w:t>
            </w:r>
          </w:p>
        </w:tc>
        <w:tc>
          <w:tcPr>
            <w:tcW w:w="2676" w:type="dxa"/>
            <w:shd w:val="clear" w:color="auto" w:fill="auto"/>
          </w:tcPr>
          <w:p w14:paraId="108DE505" w14:textId="77777777" w:rsidR="002B7455" w:rsidRPr="0074385A" w:rsidRDefault="002B7455" w:rsidP="00385FB8">
            <w:pPr>
              <w:spacing w:line="252" w:lineRule="auto"/>
              <w:rPr>
                <w:rFonts w:eastAsia="Times New Roman" w:cs="Tahoma"/>
              </w:rPr>
            </w:pPr>
            <w:r w:rsidRPr="0074385A">
              <w:rPr>
                <w:rFonts w:eastAsia="Times New Roman" w:cs="Tahoma"/>
              </w:rPr>
              <w:t>SSN Mines Data and engages Potential Beneficiaries.</w:t>
            </w:r>
          </w:p>
        </w:tc>
        <w:tc>
          <w:tcPr>
            <w:tcW w:w="5361" w:type="dxa"/>
            <w:shd w:val="clear" w:color="auto" w:fill="auto"/>
          </w:tcPr>
          <w:p w14:paraId="2E97B215" w14:textId="77777777" w:rsidR="002B7455" w:rsidRPr="0074385A" w:rsidRDefault="002B7455" w:rsidP="002B7455">
            <w:pPr>
              <w:numPr>
                <w:ilvl w:val="0"/>
                <w:numId w:val="6"/>
              </w:numPr>
              <w:spacing w:line="252" w:lineRule="auto"/>
              <w:contextualSpacing/>
              <w:jc w:val="both"/>
              <w:rPr>
                <w:rFonts w:eastAsia="Times New Roman" w:cs="Tahoma"/>
              </w:rPr>
            </w:pPr>
            <w:r w:rsidRPr="0074385A">
              <w:rPr>
                <w:rFonts w:eastAsia="Times New Roman" w:cs="Tahoma"/>
              </w:rPr>
              <w:t>SSN begins mining and usage of data in accordance with MoU and data sharing protocol</w:t>
            </w:r>
          </w:p>
          <w:p w14:paraId="0C978B20" w14:textId="77777777" w:rsidR="002B7455" w:rsidRPr="0074385A" w:rsidRDefault="002B7455" w:rsidP="002B7455">
            <w:pPr>
              <w:numPr>
                <w:ilvl w:val="0"/>
                <w:numId w:val="6"/>
              </w:numPr>
              <w:spacing w:line="252" w:lineRule="auto"/>
              <w:contextualSpacing/>
              <w:jc w:val="both"/>
              <w:rPr>
                <w:rFonts w:eastAsia="Times New Roman" w:cs="Tahoma"/>
              </w:rPr>
            </w:pPr>
            <w:r w:rsidRPr="0074385A">
              <w:rPr>
                <w:rFonts w:eastAsia="Times New Roman" w:cs="Tahoma"/>
              </w:rPr>
              <w:t>SSN makes contact with potential beneficiaries for inclusion in its intervention</w:t>
            </w:r>
          </w:p>
          <w:p w14:paraId="2CC106A5" w14:textId="77777777" w:rsidR="002B7455" w:rsidRPr="0074385A" w:rsidRDefault="002B7455" w:rsidP="002B7455">
            <w:pPr>
              <w:numPr>
                <w:ilvl w:val="0"/>
                <w:numId w:val="6"/>
              </w:numPr>
              <w:spacing w:line="252" w:lineRule="auto"/>
              <w:contextualSpacing/>
              <w:jc w:val="both"/>
              <w:rPr>
                <w:rFonts w:eastAsia="Times New Roman" w:cs="Tahoma"/>
              </w:rPr>
            </w:pPr>
            <w:r w:rsidRPr="0074385A">
              <w:rPr>
                <w:rFonts w:eastAsia="Times New Roman" w:cs="Tahoma"/>
              </w:rPr>
              <w:t xml:space="preserve">SSN report any mismatch, such as natural exclusion or geographical mobility, to NASSCO for update of both the SSR and NSR in accordance with the </w:t>
            </w:r>
            <w:proofErr w:type="spellStart"/>
            <w:r w:rsidRPr="0074385A">
              <w:rPr>
                <w:rFonts w:eastAsia="Times New Roman" w:cs="Tahoma"/>
              </w:rPr>
              <w:t>SoPs</w:t>
            </w:r>
            <w:proofErr w:type="spellEnd"/>
            <w:r w:rsidRPr="0074385A">
              <w:rPr>
                <w:rFonts w:eastAsia="Times New Roman" w:cs="Tahoma"/>
              </w:rPr>
              <w:t xml:space="preserve"> for updating the NSR.</w:t>
            </w:r>
          </w:p>
        </w:tc>
      </w:tr>
    </w:tbl>
    <w:p w14:paraId="603FF1E6" w14:textId="77777777" w:rsidR="002B7455" w:rsidRDefault="002B7455" w:rsidP="005F3A2A"/>
    <w:sectPr w:rsidR="002B74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305F2"/>
    <w:multiLevelType w:val="multilevel"/>
    <w:tmpl w:val="95E06092"/>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19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45074EB"/>
    <w:multiLevelType w:val="hybridMultilevel"/>
    <w:tmpl w:val="4BC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73B24"/>
    <w:multiLevelType w:val="multilevel"/>
    <w:tmpl w:val="38C0A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0F"/>
    <w:rsid w:val="002B7455"/>
    <w:rsid w:val="00336E62"/>
    <w:rsid w:val="00385FB8"/>
    <w:rsid w:val="004001E0"/>
    <w:rsid w:val="00407E0E"/>
    <w:rsid w:val="00473D27"/>
    <w:rsid w:val="00474AB5"/>
    <w:rsid w:val="00493FA2"/>
    <w:rsid w:val="005F3A2A"/>
    <w:rsid w:val="0073215A"/>
    <w:rsid w:val="008F1D55"/>
    <w:rsid w:val="00B62E0F"/>
    <w:rsid w:val="00E8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4034"/>
  <w15:chartTrackingRefBased/>
  <w15:docId w15:val="{F6FFE4E7-32E2-434C-AD59-13A3ABF7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0F"/>
    <w:rPr>
      <w:rFonts w:ascii="Calibri" w:eastAsia="Calibri" w:hAnsi="Calibri" w:cs="Times New Roman"/>
      <w:lang w:val="en-GB"/>
    </w:rPr>
  </w:style>
  <w:style w:type="paragraph" w:styleId="Heading1">
    <w:name w:val="heading 1"/>
    <w:basedOn w:val="Normal"/>
    <w:next w:val="Normal"/>
    <w:link w:val="Heading1Char"/>
    <w:uiPriority w:val="9"/>
    <w:qFormat/>
    <w:rsid w:val="00B62E0F"/>
    <w:pPr>
      <w:numPr>
        <w:numId w:val="1"/>
      </w:numPr>
      <w:spacing w:after="0" w:line="240" w:lineRule="auto"/>
      <w:jc w:val="center"/>
      <w:outlineLvl w:val="0"/>
    </w:pPr>
    <w:rPr>
      <w:b/>
      <w:bCs/>
      <w:caps/>
      <w:sz w:val="24"/>
      <w:szCs w:val="24"/>
    </w:rPr>
  </w:style>
  <w:style w:type="paragraph" w:styleId="Heading2">
    <w:name w:val="heading 2"/>
    <w:basedOn w:val="Heading3"/>
    <w:next w:val="Normal"/>
    <w:link w:val="Heading2Char"/>
    <w:uiPriority w:val="9"/>
    <w:qFormat/>
    <w:rsid w:val="00B62E0F"/>
    <w:pPr>
      <w:numPr>
        <w:ilvl w:val="1"/>
      </w:numPr>
      <w:spacing w:after="0" w:line="360" w:lineRule="auto"/>
      <w:outlineLvl w:val="1"/>
    </w:pPr>
  </w:style>
  <w:style w:type="paragraph" w:styleId="Heading3">
    <w:name w:val="heading 3"/>
    <w:basedOn w:val="Normal"/>
    <w:next w:val="Normal"/>
    <w:link w:val="Heading3Char"/>
    <w:qFormat/>
    <w:rsid w:val="00B62E0F"/>
    <w:pPr>
      <w:numPr>
        <w:ilvl w:val="2"/>
        <w:numId w:val="1"/>
      </w:numPr>
      <w:contextualSpacing/>
      <w:outlineLvl w:val="2"/>
    </w:pPr>
    <w:rPr>
      <w:b/>
      <w:position w:val="2"/>
      <w:sz w:val="24"/>
      <w:szCs w:val="24"/>
    </w:rPr>
  </w:style>
  <w:style w:type="paragraph" w:styleId="Heading4">
    <w:name w:val="heading 4"/>
    <w:basedOn w:val="Heading3"/>
    <w:next w:val="Normal"/>
    <w:link w:val="Heading4Char"/>
    <w:qFormat/>
    <w:rsid w:val="00B62E0F"/>
    <w:pPr>
      <w:numPr>
        <w:ilvl w:val="3"/>
      </w:numPr>
      <w:outlineLvl w:val="3"/>
    </w:pPr>
  </w:style>
  <w:style w:type="paragraph" w:styleId="Heading5">
    <w:name w:val="heading 5"/>
    <w:basedOn w:val="Normal"/>
    <w:next w:val="Normal"/>
    <w:link w:val="Heading5Char"/>
    <w:uiPriority w:val="9"/>
    <w:qFormat/>
    <w:rsid w:val="00B62E0F"/>
    <w:pPr>
      <w:numPr>
        <w:ilvl w:val="4"/>
        <w:numId w:val="1"/>
      </w:numPr>
      <w:jc w:val="both"/>
      <w:outlineLvl w:val="4"/>
    </w:pPr>
    <w:rPr>
      <w:b/>
      <w:i/>
      <w:sz w:val="24"/>
      <w:szCs w:val="24"/>
    </w:rPr>
  </w:style>
  <w:style w:type="paragraph" w:styleId="Heading6">
    <w:name w:val="heading 6"/>
    <w:basedOn w:val="Normal"/>
    <w:next w:val="Normal"/>
    <w:link w:val="Heading6Char"/>
    <w:qFormat/>
    <w:rsid w:val="00B62E0F"/>
    <w:pPr>
      <w:numPr>
        <w:ilvl w:val="5"/>
        <w:numId w:val="1"/>
      </w:numPr>
      <w:autoSpaceDE w:val="0"/>
      <w:autoSpaceDN w:val="0"/>
      <w:adjustRightInd w:val="0"/>
      <w:jc w:val="both"/>
      <w:outlineLvl w:val="5"/>
    </w:pPr>
    <w:rPr>
      <w:b/>
      <w:sz w:val="24"/>
      <w:szCs w:val="24"/>
    </w:rPr>
  </w:style>
  <w:style w:type="paragraph" w:styleId="Heading7">
    <w:name w:val="heading 7"/>
    <w:basedOn w:val="Normal"/>
    <w:next w:val="Normal"/>
    <w:link w:val="Heading7Char"/>
    <w:uiPriority w:val="9"/>
    <w:qFormat/>
    <w:rsid w:val="00B62E0F"/>
    <w:pPr>
      <w:numPr>
        <w:ilvl w:val="6"/>
        <w:numId w:val="1"/>
      </w:numPr>
      <w:spacing w:before="240" w:after="60" w:line="240" w:lineRule="auto"/>
      <w:outlineLvl w:val="6"/>
    </w:pPr>
    <w:rPr>
      <w:rFonts w:eastAsia="MS Mincho"/>
      <w:sz w:val="24"/>
      <w:szCs w:val="24"/>
    </w:rPr>
  </w:style>
  <w:style w:type="paragraph" w:styleId="Heading8">
    <w:name w:val="heading 8"/>
    <w:basedOn w:val="Normal"/>
    <w:next w:val="Normal"/>
    <w:link w:val="Heading8Char"/>
    <w:uiPriority w:val="9"/>
    <w:qFormat/>
    <w:rsid w:val="00B62E0F"/>
    <w:pPr>
      <w:numPr>
        <w:ilvl w:val="7"/>
        <w:numId w:val="1"/>
      </w:numPr>
      <w:spacing w:before="240" w:after="60" w:line="240" w:lineRule="auto"/>
      <w:outlineLvl w:val="7"/>
    </w:pPr>
    <w:rPr>
      <w:rFonts w:eastAsia="MS Mincho"/>
      <w:i/>
      <w:iCs/>
      <w:sz w:val="24"/>
      <w:szCs w:val="24"/>
    </w:rPr>
  </w:style>
  <w:style w:type="paragraph" w:styleId="Heading9">
    <w:name w:val="heading 9"/>
    <w:basedOn w:val="Normal"/>
    <w:next w:val="Normal"/>
    <w:link w:val="Heading9Char"/>
    <w:uiPriority w:val="9"/>
    <w:qFormat/>
    <w:rsid w:val="00B62E0F"/>
    <w:pPr>
      <w:numPr>
        <w:ilvl w:val="8"/>
        <w:numId w:val="1"/>
      </w:numPr>
      <w:spacing w:before="240" w:after="60" w:line="240" w:lineRule="auto"/>
      <w:outlineLvl w:val="8"/>
    </w:pPr>
    <w:rPr>
      <w:rFonts w:ascii="Cambria" w:eastAsia="MS Gothic"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0F"/>
    <w:rPr>
      <w:rFonts w:ascii="Calibri" w:eastAsia="Calibri" w:hAnsi="Calibri" w:cs="Times New Roman"/>
      <w:b/>
      <w:bCs/>
      <w:caps/>
      <w:sz w:val="24"/>
      <w:szCs w:val="24"/>
      <w:lang w:val="en-GB"/>
    </w:rPr>
  </w:style>
  <w:style w:type="character" w:customStyle="1" w:styleId="Heading2Char">
    <w:name w:val="Heading 2 Char"/>
    <w:basedOn w:val="DefaultParagraphFont"/>
    <w:link w:val="Heading2"/>
    <w:uiPriority w:val="9"/>
    <w:rsid w:val="00B62E0F"/>
    <w:rPr>
      <w:rFonts w:ascii="Calibri" w:eastAsia="Calibri" w:hAnsi="Calibri" w:cs="Times New Roman"/>
      <w:b/>
      <w:position w:val="2"/>
      <w:sz w:val="24"/>
      <w:szCs w:val="24"/>
      <w:lang w:val="en-GB"/>
    </w:rPr>
  </w:style>
  <w:style w:type="character" w:customStyle="1" w:styleId="Heading3Char">
    <w:name w:val="Heading 3 Char"/>
    <w:basedOn w:val="DefaultParagraphFont"/>
    <w:link w:val="Heading3"/>
    <w:rsid w:val="00B62E0F"/>
    <w:rPr>
      <w:rFonts w:ascii="Calibri" w:eastAsia="Calibri" w:hAnsi="Calibri" w:cs="Times New Roman"/>
      <w:b/>
      <w:position w:val="2"/>
      <w:sz w:val="24"/>
      <w:szCs w:val="24"/>
      <w:lang w:val="en-GB"/>
    </w:rPr>
  </w:style>
  <w:style w:type="character" w:customStyle="1" w:styleId="Heading4Char">
    <w:name w:val="Heading 4 Char"/>
    <w:basedOn w:val="DefaultParagraphFont"/>
    <w:link w:val="Heading4"/>
    <w:rsid w:val="00B62E0F"/>
    <w:rPr>
      <w:rFonts w:ascii="Calibri" w:eastAsia="Calibri" w:hAnsi="Calibri" w:cs="Times New Roman"/>
      <w:b/>
      <w:position w:val="2"/>
      <w:sz w:val="24"/>
      <w:szCs w:val="24"/>
      <w:lang w:val="en-GB"/>
    </w:rPr>
  </w:style>
  <w:style w:type="character" w:customStyle="1" w:styleId="Heading5Char">
    <w:name w:val="Heading 5 Char"/>
    <w:basedOn w:val="DefaultParagraphFont"/>
    <w:link w:val="Heading5"/>
    <w:uiPriority w:val="9"/>
    <w:rsid w:val="00B62E0F"/>
    <w:rPr>
      <w:rFonts w:ascii="Calibri" w:eastAsia="Calibri" w:hAnsi="Calibri" w:cs="Times New Roman"/>
      <w:b/>
      <w:i/>
      <w:sz w:val="24"/>
      <w:szCs w:val="24"/>
      <w:lang w:val="en-GB"/>
    </w:rPr>
  </w:style>
  <w:style w:type="character" w:customStyle="1" w:styleId="Heading6Char">
    <w:name w:val="Heading 6 Char"/>
    <w:basedOn w:val="DefaultParagraphFont"/>
    <w:link w:val="Heading6"/>
    <w:rsid w:val="00B62E0F"/>
    <w:rPr>
      <w:rFonts w:ascii="Calibri" w:eastAsia="Calibri" w:hAnsi="Calibri" w:cs="Times New Roman"/>
      <w:b/>
      <w:sz w:val="24"/>
      <w:szCs w:val="24"/>
      <w:lang w:val="en-GB"/>
    </w:rPr>
  </w:style>
  <w:style w:type="character" w:customStyle="1" w:styleId="Heading7Char">
    <w:name w:val="Heading 7 Char"/>
    <w:basedOn w:val="DefaultParagraphFont"/>
    <w:link w:val="Heading7"/>
    <w:uiPriority w:val="9"/>
    <w:rsid w:val="00B62E0F"/>
    <w:rPr>
      <w:rFonts w:ascii="Calibri" w:eastAsia="MS Mincho" w:hAnsi="Calibri" w:cs="Times New Roman"/>
      <w:sz w:val="24"/>
      <w:szCs w:val="24"/>
      <w:lang w:val="en-GB"/>
    </w:rPr>
  </w:style>
  <w:style w:type="character" w:customStyle="1" w:styleId="Heading8Char">
    <w:name w:val="Heading 8 Char"/>
    <w:basedOn w:val="DefaultParagraphFont"/>
    <w:link w:val="Heading8"/>
    <w:uiPriority w:val="9"/>
    <w:rsid w:val="00B62E0F"/>
    <w:rPr>
      <w:rFonts w:ascii="Calibri" w:eastAsia="MS Mincho" w:hAnsi="Calibri" w:cs="Times New Roman"/>
      <w:i/>
      <w:iCs/>
      <w:sz w:val="24"/>
      <w:szCs w:val="24"/>
      <w:lang w:val="en-GB"/>
    </w:rPr>
  </w:style>
  <w:style w:type="character" w:customStyle="1" w:styleId="Heading9Char">
    <w:name w:val="Heading 9 Char"/>
    <w:basedOn w:val="DefaultParagraphFont"/>
    <w:link w:val="Heading9"/>
    <w:uiPriority w:val="9"/>
    <w:rsid w:val="00B62E0F"/>
    <w:rPr>
      <w:rFonts w:ascii="Cambria" w:eastAsia="MS Gothic" w:hAnsi="Cambria" w:cs="Times New Roman"/>
      <w:sz w:val="20"/>
      <w:szCs w:val="20"/>
      <w:lang w:val="en-GB"/>
    </w:rPr>
  </w:style>
  <w:style w:type="paragraph" w:styleId="BalloonText">
    <w:name w:val="Balloon Text"/>
    <w:basedOn w:val="Normal"/>
    <w:link w:val="BalloonTextChar"/>
    <w:uiPriority w:val="99"/>
    <w:semiHidden/>
    <w:unhideWhenUsed/>
    <w:rsid w:val="00B62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0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Bala</dc:creator>
  <cp:keywords/>
  <dc:description/>
  <cp:lastModifiedBy>Yimave Gyanggyang</cp:lastModifiedBy>
  <cp:revision>2</cp:revision>
  <dcterms:created xsi:type="dcterms:W3CDTF">2020-03-10T12:16:00Z</dcterms:created>
  <dcterms:modified xsi:type="dcterms:W3CDTF">2020-03-10T12:16:00Z</dcterms:modified>
</cp:coreProperties>
</file>