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1EE0" w14:textId="26DC670C" w:rsidR="00904DEE" w:rsidRDefault="003B71F8" w:rsidP="00D02CD5">
      <w:pPr>
        <w:spacing w:after="60"/>
        <w:jc w:val="both"/>
        <w:rPr>
          <w:rFonts w:ascii="Calibri" w:hAnsi="Calibri"/>
          <w:b/>
          <w:strike/>
        </w:rPr>
      </w:pPr>
      <w:r w:rsidRPr="00DA0462">
        <w:rPr>
          <w:rFonts w:ascii="Calibri" w:hAnsi="Calibri"/>
          <w:b/>
        </w:rPr>
        <w:t xml:space="preserve">National </w:t>
      </w:r>
      <w:r w:rsidR="00902454" w:rsidRPr="00DA0462">
        <w:rPr>
          <w:rFonts w:ascii="Calibri" w:hAnsi="Calibri"/>
          <w:b/>
        </w:rPr>
        <w:t>Social Safety Nets Project</w:t>
      </w:r>
      <w:r w:rsidRPr="00DA0462">
        <w:rPr>
          <w:rFonts w:ascii="Calibri" w:hAnsi="Calibri"/>
          <w:b/>
        </w:rPr>
        <w:t xml:space="preserve">- </w:t>
      </w:r>
      <w:r w:rsidR="00902454" w:rsidRPr="00DA0462">
        <w:rPr>
          <w:rFonts w:ascii="Calibri" w:hAnsi="Calibri"/>
          <w:b/>
        </w:rPr>
        <w:t xml:space="preserve">Terms of Reference for </w:t>
      </w:r>
      <w:r w:rsidR="000A4CFC" w:rsidRPr="00DA0462">
        <w:rPr>
          <w:rFonts w:ascii="Calibri" w:hAnsi="Calibri"/>
          <w:b/>
        </w:rPr>
        <w:t xml:space="preserve">the </w:t>
      </w:r>
      <w:r w:rsidR="00925AAC">
        <w:rPr>
          <w:rFonts w:ascii="Calibri" w:hAnsi="Calibri"/>
          <w:b/>
        </w:rPr>
        <w:t xml:space="preserve">Independent Review </w:t>
      </w:r>
      <w:r w:rsidR="000A4CFC" w:rsidRPr="00DA0462">
        <w:rPr>
          <w:rFonts w:ascii="Calibri" w:hAnsi="Calibri"/>
          <w:b/>
        </w:rPr>
        <w:t xml:space="preserve">of Households on </w:t>
      </w:r>
      <w:r w:rsidR="00A863F6" w:rsidRPr="00DA0462">
        <w:rPr>
          <w:rFonts w:ascii="Calibri" w:hAnsi="Calibri"/>
          <w:b/>
        </w:rPr>
        <w:t>Cash Transfer Program</w:t>
      </w:r>
    </w:p>
    <w:p w14:paraId="2CA25B9A" w14:textId="77777777" w:rsidR="00904DEE" w:rsidRPr="00DA0462" w:rsidRDefault="00904DEE" w:rsidP="00D02CD5">
      <w:pPr>
        <w:spacing w:after="60"/>
        <w:jc w:val="both"/>
        <w:rPr>
          <w:rFonts w:ascii="Calibri" w:hAnsi="Calibri"/>
          <w:b/>
          <w:strike/>
        </w:rPr>
      </w:pPr>
    </w:p>
    <w:p w14:paraId="15BF061E" w14:textId="77777777" w:rsidR="00902454" w:rsidRPr="00DA0462" w:rsidRDefault="00902454" w:rsidP="00344C30">
      <w:p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</w:rPr>
        <w:t>Project Background</w:t>
      </w:r>
    </w:p>
    <w:p w14:paraId="5C5A719B" w14:textId="44973398" w:rsidR="00D356F6" w:rsidRPr="00DA0462" w:rsidRDefault="0095677B" w:rsidP="00D356F6">
      <w:pPr>
        <w:spacing w:after="60"/>
        <w:jc w:val="both"/>
        <w:rPr>
          <w:rFonts w:ascii="Calibri" w:hAnsi="Calibri"/>
          <w:lang w:val="en-GB"/>
        </w:rPr>
      </w:pPr>
      <w:bookmarkStart w:id="0" w:name="_Hlk523239069"/>
      <w:r w:rsidRPr="00DA0462">
        <w:rPr>
          <w:rFonts w:ascii="Calibri" w:hAnsi="Calibri"/>
          <w:lang w:val="en-GB"/>
        </w:rPr>
        <w:t>The Federal Government of Nigeria has prioritized the implementation of social protection interventions as an instrument for the reduction of poverty and socio-economic vulnerabilities in the population.  One major intervention towards achieving this is the</w:t>
      </w:r>
      <w:r w:rsidR="00862F5E" w:rsidRPr="00DA0462">
        <w:rPr>
          <w:rFonts w:ascii="Calibri" w:hAnsi="Calibri"/>
          <w:lang w:val="en-GB"/>
        </w:rPr>
        <w:t xml:space="preserve"> establishment of the</w:t>
      </w:r>
      <w:r w:rsidRPr="00DA0462">
        <w:rPr>
          <w:rFonts w:ascii="Calibri" w:hAnsi="Calibri"/>
          <w:lang w:val="en-GB"/>
        </w:rPr>
        <w:t xml:space="preserve"> National Social Safety Net</w:t>
      </w:r>
      <w:r w:rsidR="00AB7D88" w:rsidRPr="00DA0462">
        <w:rPr>
          <w:rFonts w:ascii="Calibri" w:hAnsi="Calibri"/>
          <w:lang w:val="en-GB"/>
        </w:rPr>
        <w:t>s</w:t>
      </w:r>
      <w:r w:rsidRPr="00DA0462">
        <w:rPr>
          <w:rFonts w:ascii="Calibri" w:hAnsi="Calibri"/>
          <w:lang w:val="en-GB"/>
        </w:rPr>
        <w:t xml:space="preserve"> Pro</w:t>
      </w:r>
      <w:r w:rsidR="00AB7D88" w:rsidRPr="00DA0462">
        <w:rPr>
          <w:rFonts w:ascii="Calibri" w:hAnsi="Calibri"/>
          <w:lang w:val="en-GB"/>
        </w:rPr>
        <w:t>jects</w:t>
      </w:r>
      <w:r w:rsidRPr="00DA0462">
        <w:rPr>
          <w:rFonts w:ascii="Calibri" w:hAnsi="Calibri"/>
          <w:lang w:val="en-GB"/>
        </w:rPr>
        <w:t xml:space="preserve"> (NASSP), a flagship initiative under the Social Investment Programme. </w:t>
      </w:r>
      <w:r w:rsidR="00AB7D88" w:rsidRPr="00DA0462">
        <w:rPr>
          <w:rFonts w:ascii="Calibri" w:hAnsi="Calibri"/>
          <w:lang w:val="en-GB"/>
        </w:rPr>
        <w:t>NASSP</w:t>
      </w:r>
      <w:r w:rsidR="00367636" w:rsidRPr="00DA0462">
        <w:rPr>
          <w:rFonts w:ascii="Calibri" w:hAnsi="Calibri"/>
          <w:lang w:val="en-GB"/>
        </w:rPr>
        <w:t xml:space="preserve"> is currently being implemented in partnership with the World Bank through a counterpart funding of $500 million loan to the Federal Government. </w:t>
      </w:r>
      <w:r w:rsidR="00862F5E" w:rsidRPr="00DA0462">
        <w:rPr>
          <w:rFonts w:ascii="Calibri" w:hAnsi="Calibri"/>
          <w:lang w:val="en-GB"/>
        </w:rPr>
        <w:t xml:space="preserve">The aim of </w:t>
      </w:r>
      <w:r w:rsidR="00367636" w:rsidRPr="00DA0462">
        <w:rPr>
          <w:rFonts w:ascii="Calibri" w:hAnsi="Calibri"/>
          <w:lang w:val="en-GB"/>
        </w:rPr>
        <w:t>the pro</w:t>
      </w:r>
      <w:r w:rsidR="00AB7D88" w:rsidRPr="00DA0462">
        <w:rPr>
          <w:rFonts w:ascii="Calibri" w:hAnsi="Calibri"/>
          <w:lang w:val="en-GB"/>
        </w:rPr>
        <w:t>ject</w:t>
      </w:r>
      <w:r w:rsidR="00862F5E" w:rsidRPr="00DA0462">
        <w:rPr>
          <w:rFonts w:ascii="Calibri" w:hAnsi="Calibri"/>
          <w:lang w:val="en-GB"/>
        </w:rPr>
        <w:t xml:space="preserve"> is to support the Government</w:t>
      </w:r>
      <w:r w:rsidR="00AB7D88" w:rsidRPr="00DA0462">
        <w:rPr>
          <w:rFonts w:ascii="Calibri" w:hAnsi="Calibri"/>
          <w:lang w:val="en-GB"/>
        </w:rPr>
        <w:t xml:space="preserve"> </w:t>
      </w:r>
      <w:r w:rsidR="00862F5E" w:rsidRPr="00DA0462">
        <w:rPr>
          <w:rFonts w:ascii="Calibri" w:hAnsi="Calibri"/>
          <w:lang w:val="en-GB"/>
        </w:rPr>
        <w:t xml:space="preserve">by expanding access for poor households to social safety nets, while also developing systems at the federal level for use by other safety net and public programs. </w:t>
      </w:r>
      <w:r w:rsidR="00045150" w:rsidRPr="00DA0462">
        <w:rPr>
          <w:rFonts w:ascii="Calibri" w:hAnsi="Calibri"/>
          <w:lang w:val="en-GB"/>
        </w:rPr>
        <w:t>The project</w:t>
      </w:r>
      <w:r w:rsidR="00055876" w:rsidRPr="00DA0462">
        <w:rPr>
          <w:rFonts w:ascii="Calibri" w:hAnsi="Calibri"/>
          <w:lang w:val="en-GB"/>
        </w:rPr>
        <w:t xml:space="preserve"> </w:t>
      </w:r>
      <w:r w:rsidR="00862F5E" w:rsidRPr="00DA0462">
        <w:rPr>
          <w:rFonts w:ascii="Calibri" w:hAnsi="Calibri"/>
          <w:lang w:val="en-GB"/>
        </w:rPr>
        <w:t>involves two components: (i) establishing systems for social safety nets that would serve as a robust platform for effectively targeting and delivering social assistance; and (ii) implementing cash transfers to targeted poor and vulnerable households.</w:t>
      </w:r>
      <w:r w:rsidR="0027630E" w:rsidRPr="00DA0462">
        <w:rPr>
          <w:rFonts w:ascii="Calibri" w:hAnsi="Calibri"/>
          <w:lang w:val="en-GB"/>
        </w:rPr>
        <w:t xml:space="preserve"> It </w:t>
      </w:r>
      <w:r w:rsidR="00F57BDF" w:rsidRPr="00DA0462">
        <w:rPr>
          <w:rFonts w:ascii="Calibri" w:hAnsi="Calibri"/>
          <w:lang w:val="en-GB"/>
        </w:rPr>
        <w:t>has national coverage, with all states eligible to participate. The systems developed for social safety net</w:t>
      </w:r>
      <w:r w:rsidR="0027630E" w:rsidRPr="00DA0462">
        <w:rPr>
          <w:rFonts w:ascii="Calibri" w:hAnsi="Calibri"/>
          <w:lang w:val="en-GB"/>
        </w:rPr>
        <w:t>s</w:t>
      </w:r>
      <w:r w:rsidR="00F57BDF" w:rsidRPr="00DA0462">
        <w:rPr>
          <w:rFonts w:ascii="Calibri" w:hAnsi="Calibri"/>
          <w:lang w:val="en-GB"/>
        </w:rPr>
        <w:t xml:space="preserve"> in Nigeria </w:t>
      </w:r>
      <w:r w:rsidR="00904DEE">
        <w:rPr>
          <w:rFonts w:ascii="Calibri" w:hAnsi="Calibri"/>
          <w:lang w:val="en-GB"/>
        </w:rPr>
        <w:t>are</w:t>
      </w:r>
      <w:r w:rsidR="00F57BDF" w:rsidRPr="00DA0462">
        <w:rPr>
          <w:rFonts w:ascii="Calibri" w:hAnsi="Calibri"/>
          <w:lang w:val="en-GB"/>
        </w:rPr>
        <w:t xml:space="preserve"> used across the country’s different safety net programs, irrespective of funding source</w:t>
      </w:r>
      <w:r w:rsidR="005C4630" w:rsidRPr="00DA0462">
        <w:rPr>
          <w:rFonts w:ascii="Calibri" w:hAnsi="Calibri"/>
          <w:lang w:val="en-GB"/>
        </w:rPr>
        <w:t>,</w:t>
      </w:r>
      <w:r w:rsidR="00F57BDF" w:rsidRPr="00DA0462">
        <w:rPr>
          <w:rFonts w:ascii="Calibri" w:hAnsi="Calibri"/>
          <w:lang w:val="en-GB"/>
        </w:rPr>
        <w:t xml:space="preserve"> or targeted beneficiary group. Different stakeholders, such as governments, development partners, or civil society, </w:t>
      </w:r>
      <w:r w:rsidR="005C4630" w:rsidRPr="00DA0462">
        <w:rPr>
          <w:rFonts w:ascii="Calibri" w:hAnsi="Calibri"/>
          <w:lang w:val="en-GB"/>
        </w:rPr>
        <w:t>can</w:t>
      </w:r>
      <w:r w:rsidR="00F57BDF" w:rsidRPr="00DA0462">
        <w:rPr>
          <w:rFonts w:ascii="Calibri" w:hAnsi="Calibri"/>
          <w:lang w:val="en-GB"/>
        </w:rPr>
        <w:t xml:space="preserve"> use the systems for delivering social assistance programs in Nigeria.</w:t>
      </w:r>
    </w:p>
    <w:bookmarkEnd w:id="0"/>
    <w:p w14:paraId="14C536CE" w14:textId="77777777" w:rsidR="00765B65" w:rsidRPr="00DA0462" w:rsidRDefault="00765B65" w:rsidP="00A45C9B">
      <w:pPr>
        <w:spacing w:after="60"/>
        <w:jc w:val="both"/>
        <w:rPr>
          <w:rFonts w:ascii="Calibri" w:hAnsi="Calibri"/>
          <w:b/>
          <w:lang w:val="en"/>
        </w:rPr>
      </w:pPr>
      <w:r w:rsidRPr="00DA0462">
        <w:rPr>
          <w:rFonts w:ascii="Calibri" w:hAnsi="Calibri"/>
        </w:rPr>
        <w:t xml:space="preserve">The implementation of NASSP involves several institutional arrangement layers: </w:t>
      </w:r>
    </w:p>
    <w:p w14:paraId="6CD43B19" w14:textId="765CC848" w:rsidR="00055876" w:rsidRPr="00DA0462" w:rsidRDefault="00055876" w:rsidP="00A45C9B">
      <w:p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  <w:b/>
          <w:i/>
        </w:rPr>
        <w:t>National Social Safety Net Coordinating Office</w:t>
      </w:r>
      <w:r w:rsidR="00FA3167" w:rsidRPr="00DA0462">
        <w:rPr>
          <w:rFonts w:ascii="Calibri" w:hAnsi="Calibri"/>
          <w:b/>
          <w:i/>
        </w:rPr>
        <w:t xml:space="preserve"> (NASSCO)</w:t>
      </w:r>
      <w:r w:rsidRPr="00DA0462">
        <w:rPr>
          <w:rFonts w:ascii="Calibri" w:hAnsi="Calibri"/>
        </w:rPr>
        <w:t xml:space="preserve">: </w:t>
      </w:r>
      <w:bookmarkStart w:id="1" w:name="_Hlk523239472"/>
      <w:r w:rsidR="004F7761" w:rsidRPr="00DA0462">
        <w:rPr>
          <w:rFonts w:ascii="Calibri" w:hAnsi="Calibri"/>
        </w:rPr>
        <w:t xml:space="preserve">To ensure proper coordination and support to NASSP, the Government established NASSCO. NASSCO, at the federal level, coordinates all social protection interventions, including the </w:t>
      </w:r>
      <w:r w:rsidR="00D4732D" w:rsidRPr="00DA0462">
        <w:rPr>
          <w:rFonts w:ascii="Calibri" w:hAnsi="Calibri"/>
        </w:rPr>
        <w:t>Targeted C</w:t>
      </w:r>
      <w:r w:rsidR="004F7761" w:rsidRPr="00DA0462">
        <w:rPr>
          <w:rFonts w:ascii="Calibri" w:hAnsi="Calibri"/>
        </w:rPr>
        <w:t xml:space="preserve">ash </w:t>
      </w:r>
      <w:r w:rsidR="00D4732D" w:rsidRPr="00DA0462">
        <w:rPr>
          <w:rFonts w:ascii="Calibri" w:hAnsi="Calibri"/>
        </w:rPr>
        <w:t>T</w:t>
      </w:r>
      <w:r w:rsidR="004F7761" w:rsidRPr="00DA0462">
        <w:rPr>
          <w:rFonts w:ascii="Calibri" w:hAnsi="Calibri"/>
        </w:rPr>
        <w:t>ransfer</w:t>
      </w:r>
      <w:r w:rsidR="00D4732D" w:rsidRPr="00DA0462">
        <w:rPr>
          <w:rFonts w:ascii="Calibri" w:hAnsi="Calibri"/>
        </w:rPr>
        <w:t xml:space="preserve"> (TCT)</w:t>
      </w:r>
      <w:r w:rsidR="004F7761" w:rsidRPr="00DA0462">
        <w:rPr>
          <w:rFonts w:ascii="Calibri" w:hAnsi="Calibri"/>
        </w:rPr>
        <w:t>, the Youth Empowerment and Social Operations (YESSO)</w:t>
      </w:r>
      <w:r w:rsidR="005C4630" w:rsidRPr="00DA0462">
        <w:rPr>
          <w:rFonts w:ascii="Calibri" w:hAnsi="Calibri"/>
        </w:rPr>
        <w:t>,</w:t>
      </w:r>
      <w:r w:rsidR="004F7761" w:rsidRPr="00DA0462">
        <w:rPr>
          <w:rFonts w:ascii="Calibri" w:hAnsi="Calibri"/>
        </w:rPr>
        <w:t xml:space="preserve"> and the Community Social Development Project (CSDP); and set up standards to support social safety net interventions in the country. </w:t>
      </w:r>
      <w:r w:rsidR="00D356F6" w:rsidRPr="00DA0462">
        <w:rPr>
          <w:rFonts w:ascii="Calibri" w:hAnsi="Calibri"/>
        </w:rPr>
        <w:t>The mandate of NASSCO is to build a database</w:t>
      </w:r>
      <w:r w:rsidR="00A45C9B" w:rsidRPr="00DA0462">
        <w:rPr>
          <w:rFonts w:ascii="Calibri" w:hAnsi="Calibri"/>
        </w:rPr>
        <w:t>- National Social Register (NSR)</w:t>
      </w:r>
      <w:r w:rsidR="00D356F6" w:rsidRPr="00DA0462">
        <w:rPr>
          <w:rFonts w:ascii="Calibri" w:hAnsi="Calibri"/>
        </w:rPr>
        <w:t xml:space="preserve"> of poor and vulnerable households (PVHHs)</w:t>
      </w:r>
      <w:r w:rsidR="00A45C9B" w:rsidRPr="00DA0462">
        <w:rPr>
          <w:rFonts w:ascii="Calibri" w:hAnsi="Calibri"/>
        </w:rPr>
        <w:t>,</w:t>
      </w:r>
      <w:r w:rsidR="00D356F6" w:rsidRPr="00DA0462">
        <w:rPr>
          <w:rFonts w:ascii="Calibri" w:hAnsi="Calibri"/>
        </w:rPr>
        <w:t xml:space="preserve"> across the 36 </w:t>
      </w:r>
      <w:r w:rsidR="00904DEE">
        <w:rPr>
          <w:rFonts w:ascii="Calibri" w:hAnsi="Calibri"/>
        </w:rPr>
        <w:t>S</w:t>
      </w:r>
      <w:r w:rsidR="00D356F6" w:rsidRPr="00DA0462">
        <w:rPr>
          <w:rFonts w:ascii="Calibri" w:hAnsi="Calibri"/>
        </w:rPr>
        <w:t>tates and the Federal Capital Territory (FCT), using appropriate targeting mechanism</w:t>
      </w:r>
      <w:r w:rsidR="00904DEE">
        <w:rPr>
          <w:rFonts w:ascii="Calibri" w:hAnsi="Calibri"/>
        </w:rPr>
        <w:t>s</w:t>
      </w:r>
      <w:r w:rsidR="00D356F6" w:rsidRPr="00DA0462">
        <w:rPr>
          <w:rFonts w:ascii="Calibri" w:hAnsi="Calibri"/>
        </w:rPr>
        <w:t>.</w:t>
      </w:r>
    </w:p>
    <w:bookmarkEnd w:id="1"/>
    <w:p w14:paraId="24EC2C1D" w14:textId="6A3DB5AB" w:rsidR="00A45C9B" w:rsidRPr="00DA0462" w:rsidRDefault="00055876" w:rsidP="00A45C9B">
      <w:p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  <w:b/>
          <w:i/>
        </w:rPr>
        <w:t>National Cash Transfer Office</w:t>
      </w:r>
      <w:r w:rsidR="008266D5" w:rsidRPr="00DA0462">
        <w:rPr>
          <w:rFonts w:ascii="Calibri" w:hAnsi="Calibri"/>
          <w:b/>
          <w:i/>
        </w:rPr>
        <w:t xml:space="preserve"> (NCTO)</w:t>
      </w:r>
      <w:r w:rsidRPr="00DA0462">
        <w:rPr>
          <w:rFonts w:ascii="Calibri" w:hAnsi="Calibri"/>
        </w:rPr>
        <w:t xml:space="preserve">: </w:t>
      </w:r>
      <w:r w:rsidR="00A45C9B" w:rsidRPr="00DA0462">
        <w:rPr>
          <w:rFonts w:ascii="Calibri" w:hAnsi="Calibri"/>
        </w:rPr>
        <w:t>One of the component</w:t>
      </w:r>
      <w:r w:rsidR="00D4732D" w:rsidRPr="00DA0462">
        <w:rPr>
          <w:rFonts w:ascii="Calibri" w:hAnsi="Calibri"/>
        </w:rPr>
        <w:t>s</w:t>
      </w:r>
      <w:r w:rsidR="00A45C9B" w:rsidRPr="00DA0462">
        <w:rPr>
          <w:rFonts w:ascii="Calibri" w:hAnsi="Calibri"/>
        </w:rPr>
        <w:t xml:space="preserve"> of NASSP is to implement Targeted Cash Transfer</w:t>
      </w:r>
      <w:r w:rsidRPr="00DA0462">
        <w:rPr>
          <w:rFonts w:ascii="Calibri" w:hAnsi="Calibri"/>
        </w:rPr>
        <w:t>s</w:t>
      </w:r>
      <w:r w:rsidR="00D4732D" w:rsidRPr="00DA0462">
        <w:rPr>
          <w:rFonts w:ascii="Calibri" w:hAnsi="Calibri"/>
        </w:rPr>
        <w:t xml:space="preserve"> </w:t>
      </w:r>
      <w:r w:rsidR="00A45C9B" w:rsidRPr="00DA0462">
        <w:rPr>
          <w:rFonts w:ascii="Calibri" w:hAnsi="Calibri"/>
        </w:rPr>
        <w:t>to poor and vulnerable households.</w:t>
      </w:r>
      <w:r w:rsidR="00D4732D" w:rsidRPr="00DA0462">
        <w:rPr>
          <w:rFonts w:ascii="Calibri" w:hAnsi="Calibri"/>
        </w:rPr>
        <w:t xml:space="preserve"> This payment system issues cash transfers directly from the NCTO to beneficiaries, </w:t>
      </w:r>
      <w:r w:rsidR="00904DEE">
        <w:rPr>
          <w:rFonts w:ascii="Calibri" w:hAnsi="Calibri"/>
        </w:rPr>
        <w:t>through</w:t>
      </w:r>
      <w:r w:rsidR="00904DEE" w:rsidRPr="00DA0462">
        <w:rPr>
          <w:rFonts w:ascii="Calibri" w:hAnsi="Calibri"/>
        </w:rPr>
        <w:t xml:space="preserve"> </w:t>
      </w:r>
      <w:r w:rsidR="00D4732D" w:rsidRPr="00DA0462">
        <w:rPr>
          <w:rFonts w:ascii="Calibri" w:hAnsi="Calibri"/>
        </w:rPr>
        <w:t>payment service providers, and will be integrated with systems developed under NASSP, including the NSR.</w:t>
      </w:r>
      <w:r w:rsidR="00F73EAB" w:rsidRPr="00DA0462">
        <w:rPr>
          <w:rFonts w:ascii="Calibri" w:hAnsi="Calibri"/>
        </w:rPr>
        <w:t xml:space="preserve"> The NCTO report</w:t>
      </w:r>
      <w:r w:rsidRPr="00DA0462">
        <w:rPr>
          <w:rFonts w:ascii="Calibri" w:hAnsi="Calibri"/>
        </w:rPr>
        <w:t>s</w:t>
      </w:r>
      <w:r w:rsidR="00F73EAB" w:rsidRPr="00DA0462">
        <w:rPr>
          <w:rFonts w:ascii="Calibri" w:hAnsi="Calibri"/>
        </w:rPr>
        <w:t xml:space="preserve"> to NASSCO, and </w:t>
      </w:r>
      <w:r w:rsidR="00904DEE">
        <w:rPr>
          <w:rFonts w:ascii="Calibri" w:hAnsi="Calibri"/>
        </w:rPr>
        <w:t xml:space="preserve">shall </w:t>
      </w:r>
      <w:r w:rsidR="00F73EAB" w:rsidRPr="00DA0462">
        <w:rPr>
          <w:rFonts w:ascii="Calibri" w:hAnsi="Calibri"/>
        </w:rPr>
        <w:t>ha</w:t>
      </w:r>
      <w:r w:rsidR="00904DEE">
        <w:rPr>
          <w:rFonts w:ascii="Calibri" w:hAnsi="Calibri"/>
        </w:rPr>
        <w:t>ve</w:t>
      </w:r>
      <w:r w:rsidR="00F73EAB" w:rsidRPr="00DA0462">
        <w:rPr>
          <w:rFonts w:ascii="Calibri" w:hAnsi="Calibri"/>
        </w:rPr>
        <w:t xml:space="preserve"> the overall management responsibility for the TCTs, including implementation of </w:t>
      </w:r>
      <w:r w:rsidR="00904DEE">
        <w:rPr>
          <w:rFonts w:ascii="Calibri" w:hAnsi="Calibri"/>
        </w:rPr>
        <w:t>F</w:t>
      </w:r>
      <w:r w:rsidR="00F73EAB" w:rsidRPr="00DA0462">
        <w:rPr>
          <w:rFonts w:ascii="Calibri" w:hAnsi="Calibri"/>
        </w:rPr>
        <w:t xml:space="preserve">ederal level activities and oversight of </w:t>
      </w:r>
      <w:r w:rsidR="00904DEE">
        <w:rPr>
          <w:rFonts w:ascii="Calibri" w:hAnsi="Calibri"/>
        </w:rPr>
        <w:t>S</w:t>
      </w:r>
      <w:r w:rsidR="005C4630" w:rsidRPr="00DA0462">
        <w:rPr>
          <w:rFonts w:ascii="Calibri" w:hAnsi="Calibri"/>
        </w:rPr>
        <w:t>tate-</w:t>
      </w:r>
      <w:r w:rsidR="00F73EAB" w:rsidRPr="00DA0462">
        <w:rPr>
          <w:rFonts w:ascii="Calibri" w:hAnsi="Calibri"/>
        </w:rPr>
        <w:t>level implementation.</w:t>
      </w:r>
    </w:p>
    <w:p w14:paraId="13651C18" w14:textId="33D3AE6B" w:rsidR="008C4B94" w:rsidRPr="00DA0462" w:rsidRDefault="008C4B94" w:rsidP="00A45C9B">
      <w:p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  <w:b/>
          <w:i/>
        </w:rPr>
        <w:t>State Operation Coordinating Unit</w:t>
      </w:r>
      <w:r w:rsidR="00FA3167" w:rsidRPr="00DA0462">
        <w:rPr>
          <w:rFonts w:ascii="Calibri" w:hAnsi="Calibri"/>
          <w:b/>
          <w:i/>
        </w:rPr>
        <w:t xml:space="preserve"> (SOCU)</w:t>
      </w:r>
      <w:r w:rsidRPr="00DA0462">
        <w:rPr>
          <w:rFonts w:ascii="Calibri" w:hAnsi="Calibri"/>
        </w:rPr>
        <w:t xml:space="preserve">: </w:t>
      </w:r>
      <w:r w:rsidR="008266D5" w:rsidRPr="00DA0462">
        <w:rPr>
          <w:rFonts w:ascii="Calibri" w:hAnsi="Calibri"/>
        </w:rPr>
        <w:t xml:space="preserve">Each NASSP </w:t>
      </w:r>
      <w:r w:rsidR="00904DEE">
        <w:rPr>
          <w:rFonts w:ascii="Calibri" w:hAnsi="Calibri"/>
        </w:rPr>
        <w:t>S</w:t>
      </w:r>
      <w:r w:rsidR="008266D5" w:rsidRPr="00DA0462">
        <w:rPr>
          <w:rFonts w:ascii="Calibri" w:hAnsi="Calibri"/>
        </w:rPr>
        <w:t xml:space="preserve">tate </w:t>
      </w:r>
      <w:r w:rsidR="00904DEE">
        <w:rPr>
          <w:rFonts w:ascii="Calibri" w:hAnsi="Calibri"/>
        </w:rPr>
        <w:t>shall have</w:t>
      </w:r>
      <w:r w:rsidR="008266D5" w:rsidRPr="00DA0462">
        <w:rPr>
          <w:rFonts w:ascii="Calibri" w:hAnsi="Calibri"/>
        </w:rPr>
        <w:t xml:space="preserve"> a SOCU,</w:t>
      </w:r>
      <w:r w:rsidR="00FA3167" w:rsidRPr="00DA0462">
        <w:rPr>
          <w:rFonts w:ascii="Calibri" w:hAnsi="Calibri"/>
        </w:rPr>
        <w:t xml:space="preserve"> responsible for establishing and managing the State Social Register (SSR). </w:t>
      </w:r>
    </w:p>
    <w:p w14:paraId="28F38A1B" w14:textId="7C1590AA" w:rsidR="00FA3167" w:rsidRPr="00DA0462" w:rsidRDefault="00FA3167" w:rsidP="00A45C9B">
      <w:p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  <w:b/>
          <w:i/>
        </w:rPr>
        <w:t>State Cash Transfer Unit (SCTU)</w:t>
      </w:r>
      <w:r w:rsidRPr="00DA0462">
        <w:rPr>
          <w:rFonts w:ascii="Calibri" w:hAnsi="Calibri"/>
        </w:rPr>
        <w:t xml:space="preserve">: Each </w:t>
      </w:r>
      <w:r w:rsidR="00610D2D" w:rsidRPr="00DA0462">
        <w:rPr>
          <w:rFonts w:ascii="Calibri" w:hAnsi="Calibri"/>
        </w:rPr>
        <w:t xml:space="preserve">NASSP </w:t>
      </w:r>
      <w:r w:rsidR="00904DEE">
        <w:rPr>
          <w:rFonts w:ascii="Calibri" w:hAnsi="Calibri"/>
        </w:rPr>
        <w:t>S</w:t>
      </w:r>
      <w:r w:rsidRPr="00DA0462">
        <w:rPr>
          <w:rFonts w:ascii="Calibri" w:hAnsi="Calibri"/>
        </w:rPr>
        <w:t xml:space="preserve">tate also </w:t>
      </w:r>
      <w:r w:rsidR="00610D2D" w:rsidRPr="00DA0462">
        <w:rPr>
          <w:rFonts w:ascii="Calibri" w:hAnsi="Calibri"/>
        </w:rPr>
        <w:t>ha</w:t>
      </w:r>
      <w:r w:rsidR="00904DEE">
        <w:rPr>
          <w:rFonts w:ascii="Calibri" w:hAnsi="Calibri"/>
        </w:rPr>
        <w:t>s</w:t>
      </w:r>
      <w:r w:rsidRPr="00DA0462">
        <w:rPr>
          <w:rFonts w:ascii="Calibri" w:hAnsi="Calibri"/>
        </w:rPr>
        <w:t xml:space="preserve"> a SCTU separate from the SOCU. The SCTU will manage the enrollment into the TCTs and prepare lists of beneficiaries eligible for payment.</w:t>
      </w:r>
      <w:r w:rsidR="00765B65" w:rsidRPr="00DA0462">
        <w:rPr>
          <w:rFonts w:ascii="Calibri" w:hAnsi="Calibri"/>
        </w:rPr>
        <w:t xml:space="preserve"> </w:t>
      </w:r>
    </w:p>
    <w:p w14:paraId="2205E8EE" w14:textId="77777777" w:rsidR="001D1BD0" w:rsidRPr="00DA0462" w:rsidRDefault="001D1BD0" w:rsidP="00D02CD5">
      <w:pPr>
        <w:spacing w:after="60"/>
        <w:jc w:val="both"/>
        <w:rPr>
          <w:rFonts w:ascii="Calibri" w:hAnsi="Calibri"/>
        </w:rPr>
      </w:pPr>
    </w:p>
    <w:p w14:paraId="57C5B200" w14:textId="77777777" w:rsidR="00055876" w:rsidRPr="00DA0462" w:rsidRDefault="004462C2" w:rsidP="00765B65">
      <w:pPr>
        <w:numPr>
          <w:ilvl w:val="1"/>
          <w:numId w:val="21"/>
        </w:numPr>
        <w:spacing w:after="60"/>
        <w:jc w:val="both"/>
        <w:rPr>
          <w:rFonts w:ascii="Calibri" w:hAnsi="Calibri"/>
          <w:b/>
        </w:rPr>
      </w:pPr>
      <w:r w:rsidRPr="00DA0462">
        <w:rPr>
          <w:rFonts w:ascii="Calibri" w:hAnsi="Calibri"/>
          <w:b/>
        </w:rPr>
        <w:lastRenderedPageBreak/>
        <w:t>Implementation of the Targeted Cash Transfers: b</w:t>
      </w:r>
      <w:r w:rsidR="00055876" w:rsidRPr="00DA0462">
        <w:rPr>
          <w:rFonts w:ascii="Calibri" w:hAnsi="Calibri"/>
          <w:b/>
        </w:rPr>
        <w:t xml:space="preserve">eneficiary mining, enrollment, payment and matching exercise by NASSCO </w:t>
      </w:r>
    </w:p>
    <w:p w14:paraId="564A8509" w14:textId="2DFA8F24" w:rsidR="00CD5CC0" w:rsidRPr="00DA0462" w:rsidRDefault="00902454" w:rsidP="00D02CD5">
      <w:p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</w:rPr>
        <w:t xml:space="preserve">A major component of </w:t>
      </w:r>
      <w:r w:rsidR="00765B65" w:rsidRPr="00DA0462">
        <w:rPr>
          <w:rFonts w:ascii="Calibri" w:hAnsi="Calibri"/>
        </w:rPr>
        <w:t>NASSP</w:t>
      </w:r>
      <w:r w:rsidRPr="00DA0462">
        <w:rPr>
          <w:rFonts w:ascii="Calibri" w:hAnsi="Calibri"/>
        </w:rPr>
        <w:t xml:space="preserve"> is implementing </w:t>
      </w:r>
      <w:r w:rsidR="001D1BD0" w:rsidRPr="00DA0462">
        <w:rPr>
          <w:rFonts w:ascii="Calibri" w:hAnsi="Calibri"/>
        </w:rPr>
        <w:t>TCTs</w:t>
      </w:r>
      <w:r w:rsidRPr="00DA0462">
        <w:rPr>
          <w:rFonts w:ascii="Calibri" w:hAnsi="Calibri"/>
        </w:rPr>
        <w:t xml:space="preserve"> to poor and vulnerable households</w:t>
      </w:r>
      <w:r w:rsidR="001D1BD0" w:rsidRPr="00DA0462">
        <w:rPr>
          <w:rFonts w:ascii="Calibri" w:hAnsi="Calibri"/>
        </w:rPr>
        <w:t xml:space="preserve"> mined from the NSR</w:t>
      </w:r>
      <w:r w:rsidR="00136158" w:rsidRPr="00DA0462">
        <w:rPr>
          <w:rFonts w:ascii="Calibri" w:hAnsi="Calibri"/>
        </w:rPr>
        <w:t>.</w:t>
      </w:r>
      <w:r w:rsidRPr="00DA0462">
        <w:rPr>
          <w:rFonts w:ascii="Calibri" w:hAnsi="Calibri"/>
        </w:rPr>
        <w:t xml:space="preserve"> </w:t>
      </w:r>
      <w:r w:rsidR="001C6083" w:rsidRPr="00DA0462">
        <w:rPr>
          <w:rFonts w:ascii="Calibri" w:hAnsi="Calibri"/>
        </w:rPr>
        <w:t>In</w:t>
      </w:r>
      <w:r w:rsidR="00765B65" w:rsidRPr="00DA0462">
        <w:rPr>
          <w:rFonts w:ascii="Calibri" w:hAnsi="Calibri"/>
        </w:rPr>
        <w:t xml:space="preserve"> </w:t>
      </w:r>
      <w:r w:rsidR="001D1BD0" w:rsidRPr="00DA0462">
        <w:rPr>
          <w:rFonts w:ascii="Calibri" w:hAnsi="Calibri"/>
        </w:rPr>
        <w:t xml:space="preserve">the </w:t>
      </w:r>
      <w:r w:rsidR="00765B65" w:rsidRPr="00DA0462">
        <w:rPr>
          <w:rFonts w:ascii="Calibri" w:hAnsi="Calibri"/>
        </w:rPr>
        <w:t xml:space="preserve">project </w:t>
      </w:r>
      <w:r w:rsidR="001D1BD0" w:rsidRPr="00DA0462">
        <w:rPr>
          <w:rFonts w:ascii="Calibri" w:hAnsi="Calibri"/>
        </w:rPr>
        <w:t xml:space="preserve">design, this component is implemented by </w:t>
      </w:r>
      <w:r w:rsidR="00CB7EEB" w:rsidRPr="00DA0462">
        <w:rPr>
          <w:rFonts w:ascii="Calibri" w:hAnsi="Calibri"/>
        </w:rPr>
        <w:t xml:space="preserve">the </w:t>
      </w:r>
      <w:r w:rsidR="00DE244C" w:rsidRPr="00DA0462">
        <w:rPr>
          <w:rFonts w:ascii="Calibri" w:hAnsi="Calibri"/>
        </w:rPr>
        <w:t>NCTO</w:t>
      </w:r>
      <w:r w:rsidR="001C6083" w:rsidRPr="00DA0462">
        <w:rPr>
          <w:rFonts w:ascii="Calibri" w:hAnsi="Calibri"/>
        </w:rPr>
        <w:t>. NCTO</w:t>
      </w:r>
      <w:r w:rsidR="00765B65" w:rsidRPr="00DA0462">
        <w:rPr>
          <w:rFonts w:ascii="Calibri" w:hAnsi="Calibri"/>
        </w:rPr>
        <w:t xml:space="preserve"> </w:t>
      </w:r>
      <w:r w:rsidR="00DE244C" w:rsidRPr="00DA0462">
        <w:rPr>
          <w:rFonts w:ascii="Calibri" w:hAnsi="Calibri"/>
        </w:rPr>
        <w:t>sends mined beneficiar</w:t>
      </w:r>
      <w:r w:rsidR="001D1BD0" w:rsidRPr="00DA0462">
        <w:rPr>
          <w:rFonts w:ascii="Calibri" w:hAnsi="Calibri"/>
        </w:rPr>
        <w:t>y lists of targeted PVHHs</w:t>
      </w:r>
      <w:r w:rsidR="00DE244C" w:rsidRPr="00DA0462">
        <w:rPr>
          <w:rFonts w:ascii="Calibri" w:hAnsi="Calibri"/>
        </w:rPr>
        <w:t xml:space="preserve"> to</w:t>
      </w:r>
      <w:r w:rsidR="00522EFD" w:rsidRPr="00DA0462">
        <w:rPr>
          <w:rFonts w:ascii="Calibri" w:hAnsi="Calibri"/>
        </w:rPr>
        <w:t xml:space="preserve"> t</w:t>
      </w:r>
      <w:r w:rsidRPr="00DA0462">
        <w:rPr>
          <w:rFonts w:ascii="Calibri" w:hAnsi="Calibri"/>
        </w:rPr>
        <w:t xml:space="preserve">he SCTU </w:t>
      </w:r>
      <w:r w:rsidR="00DE244C" w:rsidRPr="00DA0462">
        <w:rPr>
          <w:rFonts w:ascii="Calibri" w:hAnsi="Calibri"/>
        </w:rPr>
        <w:t xml:space="preserve">at the </w:t>
      </w:r>
      <w:r w:rsidR="00904DEE">
        <w:rPr>
          <w:rFonts w:ascii="Calibri" w:hAnsi="Calibri"/>
        </w:rPr>
        <w:t>S</w:t>
      </w:r>
      <w:r w:rsidR="00DE244C" w:rsidRPr="00DA0462">
        <w:rPr>
          <w:rFonts w:ascii="Calibri" w:hAnsi="Calibri"/>
        </w:rPr>
        <w:t>tate level to</w:t>
      </w:r>
      <w:r w:rsidRPr="00DA0462">
        <w:rPr>
          <w:rFonts w:ascii="Calibri" w:hAnsi="Calibri"/>
        </w:rPr>
        <w:t xml:space="preserve"> </w:t>
      </w:r>
      <w:r w:rsidR="001D1BD0" w:rsidRPr="00DA0462">
        <w:rPr>
          <w:rFonts w:ascii="Calibri" w:hAnsi="Calibri"/>
        </w:rPr>
        <w:t>validate and</w:t>
      </w:r>
      <w:r w:rsidR="00522EFD" w:rsidRPr="00DA0462">
        <w:rPr>
          <w:rFonts w:ascii="Calibri" w:hAnsi="Calibri"/>
        </w:rPr>
        <w:t xml:space="preserve"> ensure </w:t>
      </w:r>
      <w:r w:rsidR="001D1BD0" w:rsidRPr="00DA0462">
        <w:rPr>
          <w:rFonts w:ascii="Calibri" w:hAnsi="Calibri"/>
        </w:rPr>
        <w:t xml:space="preserve">that </w:t>
      </w:r>
      <w:r w:rsidR="00522EFD" w:rsidRPr="00DA0462">
        <w:rPr>
          <w:rFonts w:ascii="Calibri" w:hAnsi="Calibri"/>
        </w:rPr>
        <w:t xml:space="preserve">mined </w:t>
      </w:r>
      <w:r w:rsidRPr="00DA0462">
        <w:rPr>
          <w:rFonts w:ascii="Calibri" w:hAnsi="Calibri"/>
        </w:rPr>
        <w:t>beneficiar</w:t>
      </w:r>
      <w:r w:rsidR="00522EFD" w:rsidRPr="00DA0462">
        <w:rPr>
          <w:rFonts w:ascii="Calibri" w:hAnsi="Calibri"/>
        </w:rPr>
        <w:t xml:space="preserve">ies are consistent with </w:t>
      </w:r>
      <w:r w:rsidR="00765B65" w:rsidRPr="00DA0462">
        <w:rPr>
          <w:rFonts w:ascii="Calibri" w:hAnsi="Calibri"/>
        </w:rPr>
        <w:t xml:space="preserve">the </w:t>
      </w:r>
      <w:r w:rsidR="00522EFD" w:rsidRPr="00DA0462">
        <w:rPr>
          <w:rFonts w:ascii="Calibri" w:hAnsi="Calibri"/>
        </w:rPr>
        <w:t>SOCU SSR</w:t>
      </w:r>
      <w:r w:rsidRPr="00DA0462">
        <w:rPr>
          <w:rFonts w:ascii="Calibri" w:hAnsi="Calibri"/>
        </w:rPr>
        <w:t xml:space="preserve"> </w:t>
      </w:r>
      <w:r w:rsidR="00DE244C" w:rsidRPr="00DA0462">
        <w:rPr>
          <w:rFonts w:ascii="Calibri" w:hAnsi="Calibri"/>
        </w:rPr>
        <w:t xml:space="preserve">before the beneficiaries are </w:t>
      </w:r>
      <w:r w:rsidR="001D1BD0" w:rsidRPr="00DA0462">
        <w:rPr>
          <w:rFonts w:ascii="Calibri" w:hAnsi="Calibri"/>
        </w:rPr>
        <w:t xml:space="preserve">then </w:t>
      </w:r>
      <w:r w:rsidR="00DE244C" w:rsidRPr="00DA0462">
        <w:rPr>
          <w:rFonts w:ascii="Calibri" w:hAnsi="Calibri"/>
        </w:rPr>
        <w:t>enrolled into the Beneficiary Register (NBR)</w:t>
      </w:r>
      <w:r w:rsidR="00765B65" w:rsidRPr="00DA0462">
        <w:rPr>
          <w:rFonts w:ascii="Calibri" w:hAnsi="Calibri"/>
        </w:rPr>
        <w:t xml:space="preserve"> to receive cash transfer (CT)</w:t>
      </w:r>
      <w:r w:rsidR="00DE244C" w:rsidRPr="00DA0462">
        <w:rPr>
          <w:rFonts w:ascii="Calibri" w:hAnsi="Calibri"/>
        </w:rPr>
        <w:t xml:space="preserve">. </w:t>
      </w:r>
      <w:r w:rsidR="001D1BD0" w:rsidRPr="00DA0462">
        <w:rPr>
          <w:rFonts w:ascii="Calibri" w:hAnsi="Calibri"/>
        </w:rPr>
        <w:t>Once this process is verified and completed, t</w:t>
      </w:r>
      <w:r w:rsidR="00DE244C" w:rsidRPr="00DA0462">
        <w:rPr>
          <w:rFonts w:ascii="Calibri" w:hAnsi="Calibri"/>
        </w:rPr>
        <w:t>he Cash Transfer Facilitators (CTFs)</w:t>
      </w:r>
      <w:r w:rsidR="001D1BD0" w:rsidRPr="00DA0462">
        <w:rPr>
          <w:rFonts w:ascii="Calibri" w:hAnsi="Calibri"/>
        </w:rPr>
        <w:t xml:space="preserve"> at the LGA level </w:t>
      </w:r>
      <w:r w:rsidR="00DE244C" w:rsidRPr="00DA0462">
        <w:rPr>
          <w:rFonts w:ascii="Calibri" w:hAnsi="Calibri"/>
        </w:rPr>
        <w:t>are expected to use enrollment software on a hand-held tablet device to enroll</w:t>
      </w:r>
      <w:r w:rsidR="001D1BD0" w:rsidRPr="00DA0462">
        <w:rPr>
          <w:rFonts w:ascii="Calibri" w:hAnsi="Calibri"/>
        </w:rPr>
        <w:t xml:space="preserve"> the</w:t>
      </w:r>
      <w:r w:rsidR="00DE244C" w:rsidRPr="00DA0462">
        <w:rPr>
          <w:rFonts w:ascii="Calibri" w:hAnsi="Calibri"/>
        </w:rPr>
        <w:t xml:space="preserve"> CT beneficiaries.</w:t>
      </w:r>
      <w:r w:rsidRPr="00DA0462">
        <w:rPr>
          <w:rFonts w:ascii="Calibri" w:hAnsi="Calibri"/>
        </w:rPr>
        <w:t xml:space="preserve"> </w:t>
      </w:r>
    </w:p>
    <w:p w14:paraId="0E7B69F0" w14:textId="0A9A1225" w:rsidR="001C6083" w:rsidRPr="00DA0462" w:rsidRDefault="00765B65" w:rsidP="00D02CD5">
      <w:p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</w:rPr>
        <w:t>The cash transfer program</w:t>
      </w:r>
      <w:r w:rsidR="008B2183" w:rsidRPr="00DA0462">
        <w:rPr>
          <w:rFonts w:ascii="Calibri" w:hAnsi="Calibri"/>
        </w:rPr>
        <w:t xml:space="preserve"> </w:t>
      </w:r>
      <w:r w:rsidRPr="00DA0462">
        <w:rPr>
          <w:rFonts w:ascii="Calibri" w:hAnsi="Calibri"/>
        </w:rPr>
        <w:t xml:space="preserve">commenced cash disbursements since December 2016 in 19 </w:t>
      </w:r>
      <w:r w:rsidR="00904DEE">
        <w:rPr>
          <w:rFonts w:ascii="Calibri" w:hAnsi="Calibri"/>
        </w:rPr>
        <w:t>S</w:t>
      </w:r>
      <w:r w:rsidRPr="00DA0462">
        <w:rPr>
          <w:rFonts w:ascii="Calibri" w:hAnsi="Calibri"/>
        </w:rPr>
        <w:t>tates, including Adamawa, Anambra, Bauchi, Benue, Cross River, Ekiti, Gombe, Jigawa, Kaduna, Kano, Ka</w:t>
      </w:r>
      <w:r w:rsidR="008B2183" w:rsidRPr="00DA0462">
        <w:rPr>
          <w:rFonts w:ascii="Calibri" w:hAnsi="Calibri"/>
        </w:rPr>
        <w:t>ts</w:t>
      </w:r>
      <w:r w:rsidRPr="00DA0462">
        <w:rPr>
          <w:rFonts w:ascii="Calibri" w:hAnsi="Calibri"/>
        </w:rPr>
        <w:t xml:space="preserve">ina, Kogi, </w:t>
      </w:r>
      <w:proofErr w:type="spellStart"/>
      <w:r w:rsidRPr="00DA0462">
        <w:rPr>
          <w:rFonts w:ascii="Calibri" w:hAnsi="Calibri"/>
        </w:rPr>
        <w:t>Kwara</w:t>
      </w:r>
      <w:proofErr w:type="spellEnd"/>
      <w:r w:rsidRPr="00DA0462">
        <w:rPr>
          <w:rFonts w:ascii="Calibri" w:hAnsi="Calibri"/>
        </w:rPr>
        <w:t>, Nasarawa, Niger, Osun, Oyo, Plateau</w:t>
      </w:r>
      <w:r w:rsidR="005C4630" w:rsidRPr="00DA0462">
        <w:rPr>
          <w:rFonts w:ascii="Calibri" w:hAnsi="Calibri"/>
        </w:rPr>
        <w:t>,</w:t>
      </w:r>
      <w:r w:rsidR="008B2183" w:rsidRPr="00DA0462">
        <w:rPr>
          <w:rFonts w:ascii="Calibri" w:hAnsi="Calibri"/>
        </w:rPr>
        <w:t xml:space="preserve"> </w:t>
      </w:r>
      <w:r w:rsidR="001649C3" w:rsidRPr="00DA0462">
        <w:rPr>
          <w:rFonts w:ascii="Calibri" w:hAnsi="Calibri"/>
        </w:rPr>
        <w:t>and Taraba</w:t>
      </w:r>
      <w:r w:rsidRPr="00DA0462">
        <w:rPr>
          <w:rFonts w:ascii="Calibri" w:hAnsi="Calibri"/>
        </w:rPr>
        <w:t xml:space="preserve">. </w:t>
      </w:r>
      <w:r w:rsidR="008B2183" w:rsidRPr="00DA0462">
        <w:rPr>
          <w:rFonts w:ascii="Calibri" w:hAnsi="Calibri"/>
        </w:rPr>
        <w:t xml:space="preserve">As </w:t>
      </w:r>
      <w:r w:rsidR="005C4630" w:rsidRPr="00DA0462">
        <w:rPr>
          <w:rFonts w:ascii="Calibri" w:hAnsi="Calibri"/>
        </w:rPr>
        <w:t>of</w:t>
      </w:r>
      <w:r w:rsidR="008B2183" w:rsidRPr="00DA0462">
        <w:rPr>
          <w:rFonts w:ascii="Calibri" w:hAnsi="Calibri"/>
        </w:rPr>
        <w:t xml:space="preserve"> November 2019, 32 States have enrolled almost 1m HHs. </w:t>
      </w:r>
    </w:p>
    <w:p w14:paraId="06A2E822" w14:textId="0D300339" w:rsidR="00F477CA" w:rsidRPr="00DA0462" w:rsidRDefault="002155F8" w:rsidP="00D02CD5">
      <w:p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</w:rPr>
        <w:t xml:space="preserve">As part of the process, the NBR is matched against the NSR </w:t>
      </w:r>
      <w:r w:rsidR="00CB7EEB" w:rsidRPr="00DA0462">
        <w:rPr>
          <w:rFonts w:ascii="Calibri" w:hAnsi="Calibri"/>
        </w:rPr>
        <w:t>after every payment cycle</w:t>
      </w:r>
      <w:r w:rsidR="00A863F6" w:rsidRPr="00DA0462">
        <w:rPr>
          <w:rFonts w:ascii="Calibri" w:hAnsi="Calibri"/>
        </w:rPr>
        <w:t xml:space="preserve"> to verify that the beneficiary HHs can be found in the NSR</w:t>
      </w:r>
      <w:r w:rsidRPr="00DA0462">
        <w:rPr>
          <w:rFonts w:ascii="Calibri" w:hAnsi="Calibri"/>
        </w:rPr>
        <w:t>. In</w:t>
      </w:r>
      <w:r w:rsidR="00765B65" w:rsidRPr="00DA0462">
        <w:rPr>
          <w:rFonts w:ascii="Calibri" w:hAnsi="Calibri"/>
        </w:rPr>
        <w:t xml:space="preserve"> a</w:t>
      </w:r>
      <w:r w:rsidR="00D90E47" w:rsidRPr="00DA0462">
        <w:rPr>
          <w:rFonts w:ascii="Calibri" w:hAnsi="Calibri"/>
        </w:rPr>
        <w:t xml:space="preserve"> recent matching </w:t>
      </w:r>
      <w:r w:rsidR="00CB7EEB" w:rsidRPr="00DA0462">
        <w:rPr>
          <w:rFonts w:ascii="Calibri" w:hAnsi="Calibri"/>
        </w:rPr>
        <w:t>exercise</w:t>
      </w:r>
      <w:r w:rsidR="00765B65" w:rsidRPr="00DA0462">
        <w:rPr>
          <w:rFonts w:ascii="Calibri" w:hAnsi="Calibri"/>
        </w:rPr>
        <w:t>, it was indicated that a total of</w:t>
      </w:r>
      <w:r w:rsidR="00D90E47" w:rsidRPr="00DA0462">
        <w:rPr>
          <w:rFonts w:ascii="Calibri" w:hAnsi="Calibri"/>
        </w:rPr>
        <w:t xml:space="preserve"> </w:t>
      </w:r>
      <w:r w:rsidR="00DE244C" w:rsidRPr="00DA0462">
        <w:rPr>
          <w:rFonts w:ascii="Calibri" w:hAnsi="Calibri"/>
        </w:rPr>
        <w:t>84,130</w:t>
      </w:r>
      <w:r w:rsidR="00D90E47" w:rsidRPr="00DA0462">
        <w:rPr>
          <w:rFonts w:ascii="Calibri" w:hAnsi="Calibri"/>
        </w:rPr>
        <w:t xml:space="preserve"> beneficiar</w:t>
      </w:r>
      <w:r w:rsidR="00DE244C" w:rsidRPr="00DA0462">
        <w:rPr>
          <w:rFonts w:ascii="Calibri" w:hAnsi="Calibri"/>
        </w:rPr>
        <w:t>y HH</w:t>
      </w:r>
      <w:r w:rsidR="00765B65" w:rsidRPr="00DA0462">
        <w:rPr>
          <w:rFonts w:ascii="Calibri" w:hAnsi="Calibri"/>
        </w:rPr>
        <w:t>s</w:t>
      </w:r>
      <w:r w:rsidR="00D90E47" w:rsidRPr="00DA0462">
        <w:rPr>
          <w:rFonts w:ascii="Calibri" w:hAnsi="Calibri"/>
        </w:rPr>
        <w:t xml:space="preserve"> </w:t>
      </w:r>
      <w:r w:rsidR="00765B65" w:rsidRPr="00DA0462">
        <w:rPr>
          <w:rFonts w:ascii="Calibri" w:hAnsi="Calibri"/>
        </w:rPr>
        <w:t>could</w:t>
      </w:r>
      <w:r w:rsidR="00D90E47" w:rsidRPr="00DA0462">
        <w:rPr>
          <w:rFonts w:ascii="Calibri" w:hAnsi="Calibri"/>
        </w:rPr>
        <w:t xml:space="preserve"> not </w:t>
      </w:r>
      <w:r w:rsidR="00765B65" w:rsidRPr="00DA0462">
        <w:rPr>
          <w:rFonts w:ascii="Calibri" w:hAnsi="Calibri"/>
        </w:rPr>
        <w:t xml:space="preserve">be </w:t>
      </w:r>
      <w:r w:rsidR="00D90E47" w:rsidRPr="00DA0462">
        <w:rPr>
          <w:rFonts w:ascii="Calibri" w:hAnsi="Calibri"/>
        </w:rPr>
        <w:t xml:space="preserve">matched to the NSR. Consequent </w:t>
      </w:r>
      <w:r w:rsidR="00765B65" w:rsidRPr="00DA0462">
        <w:rPr>
          <w:rFonts w:ascii="Calibri" w:hAnsi="Calibri"/>
        </w:rPr>
        <w:t>to</w:t>
      </w:r>
      <w:r w:rsidR="00D90E47" w:rsidRPr="00DA0462">
        <w:rPr>
          <w:rFonts w:ascii="Calibri" w:hAnsi="Calibri"/>
        </w:rPr>
        <w:t xml:space="preserve"> which the Federal government </w:t>
      </w:r>
      <w:r w:rsidR="001C6083" w:rsidRPr="00DA0462">
        <w:rPr>
          <w:rFonts w:ascii="Calibri" w:hAnsi="Calibri"/>
        </w:rPr>
        <w:t>sought t</w:t>
      </w:r>
      <w:r w:rsidR="00D90E47" w:rsidRPr="00DA0462">
        <w:rPr>
          <w:rFonts w:ascii="Calibri" w:hAnsi="Calibri"/>
        </w:rPr>
        <w:t xml:space="preserve">he services of an audit firm to </w:t>
      </w:r>
      <w:r w:rsidR="005C4630" w:rsidRPr="00DA0462">
        <w:rPr>
          <w:rFonts w:ascii="Calibri" w:hAnsi="Calibri"/>
        </w:rPr>
        <w:t>examine the validity further</w:t>
      </w:r>
      <w:r w:rsidR="00D90E47" w:rsidRPr="00DA0462">
        <w:rPr>
          <w:rFonts w:ascii="Calibri" w:hAnsi="Calibri"/>
        </w:rPr>
        <w:t xml:space="preserve"> or otherwise of </w:t>
      </w:r>
      <w:r w:rsidR="00332389" w:rsidRPr="00DA0462">
        <w:rPr>
          <w:rFonts w:ascii="Calibri" w:hAnsi="Calibri"/>
        </w:rPr>
        <w:t xml:space="preserve">the </w:t>
      </w:r>
      <w:r w:rsidR="00D90E47" w:rsidRPr="00DA0462">
        <w:rPr>
          <w:rFonts w:ascii="Calibri" w:hAnsi="Calibri"/>
        </w:rPr>
        <w:t>list</w:t>
      </w:r>
      <w:r w:rsidR="00332389" w:rsidRPr="00DA0462">
        <w:rPr>
          <w:rFonts w:ascii="Calibri" w:hAnsi="Calibri"/>
        </w:rPr>
        <w:t xml:space="preserve"> of</w:t>
      </w:r>
      <w:r w:rsidR="00D90E47" w:rsidRPr="00DA0462">
        <w:rPr>
          <w:rFonts w:ascii="Calibri" w:hAnsi="Calibri"/>
        </w:rPr>
        <w:t xml:space="preserve"> </w:t>
      </w:r>
      <w:r w:rsidR="00332389" w:rsidRPr="00DA0462">
        <w:rPr>
          <w:rFonts w:ascii="Calibri" w:hAnsi="Calibri"/>
        </w:rPr>
        <w:t xml:space="preserve">the </w:t>
      </w:r>
      <w:r w:rsidR="00BC62B4" w:rsidRPr="00DA0462">
        <w:rPr>
          <w:rFonts w:ascii="Calibri" w:hAnsi="Calibri"/>
        </w:rPr>
        <w:t>84,130 beneficiary</w:t>
      </w:r>
      <w:r w:rsidR="00D90E47" w:rsidRPr="00DA0462">
        <w:rPr>
          <w:rFonts w:ascii="Calibri" w:hAnsi="Calibri"/>
        </w:rPr>
        <w:t xml:space="preserve"> </w:t>
      </w:r>
      <w:r w:rsidR="00DE244C" w:rsidRPr="00DA0462">
        <w:rPr>
          <w:rFonts w:ascii="Calibri" w:hAnsi="Calibri"/>
        </w:rPr>
        <w:t>HH</w:t>
      </w:r>
      <w:r w:rsidR="00332389" w:rsidRPr="00DA0462">
        <w:rPr>
          <w:rFonts w:ascii="Calibri" w:hAnsi="Calibri"/>
        </w:rPr>
        <w:t>s</w:t>
      </w:r>
      <w:r w:rsidR="00DE244C" w:rsidRPr="00DA0462">
        <w:rPr>
          <w:rFonts w:ascii="Calibri" w:hAnsi="Calibri"/>
        </w:rPr>
        <w:t xml:space="preserve"> </w:t>
      </w:r>
      <w:r w:rsidR="00D90E47" w:rsidRPr="00DA0462">
        <w:rPr>
          <w:rFonts w:ascii="Calibri" w:hAnsi="Calibri"/>
        </w:rPr>
        <w:t>that were not matched with the NSR.</w:t>
      </w:r>
    </w:p>
    <w:p w14:paraId="28379AB7" w14:textId="0FBB03E8" w:rsidR="00F477CA" w:rsidRPr="00DA0462" w:rsidRDefault="00F477CA" w:rsidP="00D02CD5">
      <w:p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</w:rPr>
        <w:t>An audit was commissioned to review the 84,130</w:t>
      </w:r>
      <w:r w:rsidR="001C6083" w:rsidRPr="00DA0462">
        <w:rPr>
          <w:rFonts w:ascii="Calibri" w:hAnsi="Calibri"/>
        </w:rPr>
        <w:t xml:space="preserve"> HHs</w:t>
      </w:r>
      <w:r w:rsidR="005C4630" w:rsidRPr="00DA0462">
        <w:rPr>
          <w:rFonts w:ascii="Calibri" w:hAnsi="Calibri"/>
        </w:rPr>
        <w:t>,</w:t>
      </w:r>
      <w:r w:rsidRPr="00DA0462">
        <w:rPr>
          <w:rFonts w:ascii="Calibri" w:hAnsi="Calibri"/>
        </w:rPr>
        <w:t xml:space="preserve"> </w:t>
      </w:r>
      <w:r w:rsidR="001C6083" w:rsidRPr="00DA0462">
        <w:rPr>
          <w:rFonts w:ascii="Calibri" w:hAnsi="Calibri"/>
        </w:rPr>
        <w:t xml:space="preserve">which </w:t>
      </w:r>
      <w:r w:rsidRPr="00DA0462">
        <w:rPr>
          <w:rFonts w:ascii="Calibri" w:hAnsi="Calibri"/>
        </w:rPr>
        <w:t>revealed that 71,</w:t>
      </w:r>
      <w:r w:rsidR="008F268B" w:rsidRPr="00DA0462">
        <w:rPr>
          <w:rFonts w:ascii="Calibri" w:hAnsi="Calibri"/>
        </w:rPr>
        <w:t>1</w:t>
      </w:r>
      <w:r w:rsidRPr="00DA0462">
        <w:rPr>
          <w:rFonts w:ascii="Calibri" w:hAnsi="Calibri"/>
        </w:rPr>
        <w:t>13</w:t>
      </w:r>
      <w:r w:rsidR="001C6083" w:rsidRPr="00DA0462">
        <w:rPr>
          <w:rFonts w:ascii="Calibri" w:hAnsi="Calibri"/>
        </w:rPr>
        <w:t xml:space="preserve"> HHs</w:t>
      </w:r>
      <w:r w:rsidRPr="00DA0462">
        <w:rPr>
          <w:rFonts w:ascii="Calibri" w:hAnsi="Calibri"/>
        </w:rPr>
        <w:t xml:space="preserve"> of the 84,130</w:t>
      </w:r>
      <w:r w:rsidR="001C6083" w:rsidRPr="00DA0462">
        <w:rPr>
          <w:rFonts w:ascii="Calibri" w:hAnsi="Calibri"/>
        </w:rPr>
        <w:t xml:space="preserve"> HHs</w:t>
      </w:r>
      <w:r w:rsidRPr="00DA0462">
        <w:rPr>
          <w:rFonts w:ascii="Calibri" w:hAnsi="Calibri"/>
        </w:rPr>
        <w:t xml:space="preserve"> could be traced back to the community harmonized list. A total </w:t>
      </w:r>
      <w:r w:rsidR="005C4630" w:rsidRPr="00DA0462">
        <w:rPr>
          <w:rFonts w:ascii="Calibri" w:hAnsi="Calibri"/>
        </w:rPr>
        <w:t xml:space="preserve">of </w:t>
      </w:r>
      <w:r w:rsidRPr="00DA0462">
        <w:rPr>
          <w:rFonts w:ascii="Calibri" w:hAnsi="Calibri"/>
        </w:rPr>
        <w:t>13,117</w:t>
      </w:r>
      <w:r w:rsidR="001C6083" w:rsidRPr="00DA0462">
        <w:rPr>
          <w:rFonts w:ascii="Calibri" w:hAnsi="Calibri"/>
        </w:rPr>
        <w:t xml:space="preserve"> HHs</w:t>
      </w:r>
      <w:r w:rsidRPr="00DA0462">
        <w:rPr>
          <w:rFonts w:ascii="Calibri" w:hAnsi="Calibri"/>
        </w:rPr>
        <w:t xml:space="preserve"> could</w:t>
      </w:r>
      <w:r w:rsidR="00904DEE">
        <w:rPr>
          <w:rFonts w:ascii="Calibri" w:hAnsi="Calibri"/>
        </w:rPr>
        <w:t>, however,</w:t>
      </w:r>
      <w:r w:rsidRPr="00DA0462">
        <w:rPr>
          <w:rFonts w:ascii="Calibri" w:hAnsi="Calibri"/>
        </w:rPr>
        <w:t xml:space="preserve"> not be traced</w:t>
      </w:r>
      <w:r w:rsidR="001C6083" w:rsidRPr="00DA0462">
        <w:rPr>
          <w:rFonts w:ascii="Calibri" w:hAnsi="Calibri"/>
        </w:rPr>
        <w:t>.</w:t>
      </w:r>
    </w:p>
    <w:p w14:paraId="016C47F3" w14:textId="3B34DADA" w:rsidR="00904DEE" w:rsidRDefault="00F477CA" w:rsidP="00D02CD5">
      <w:p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</w:rPr>
        <w:t>A further audit exercise is</w:t>
      </w:r>
      <w:r w:rsidR="001C6083" w:rsidRPr="00DA0462">
        <w:rPr>
          <w:rFonts w:ascii="Calibri" w:hAnsi="Calibri"/>
        </w:rPr>
        <w:t>, therefore,</w:t>
      </w:r>
      <w:r w:rsidRPr="00DA0462">
        <w:rPr>
          <w:rFonts w:ascii="Calibri" w:hAnsi="Calibri"/>
        </w:rPr>
        <w:t xml:space="preserve"> necessary to look at the 13,</w:t>
      </w:r>
      <w:r w:rsidR="008F268B" w:rsidRPr="00DA0462">
        <w:rPr>
          <w:rFonts w:ascii="Calibri" w:hAnsi="Calibri"/>
        </w:rPr>
        <w:t>017</w:t>
      </w:r>
      <w:r w:rsidR="001C6083" w:rsidRPr="00DA0462">
        <w:rPr>
          <w:rFonts w:ascii="Calibri" w:hAnsi="Calibri"/>
        </w:rPr>
        <w:t xml:space="preserve"> HHs</w:t>
      </w:r>
      <w:r w:rsidRPr="00DA0462">
        <w:rPr>
          <w:rFonts w:ascii="Calibri" w:hAnsi="Calibri"/>
        </w:rPr>
        <w:t xml:space="preserve"> </w:t>
      </w:r>
      <w:r w:rsidR="005C4630" w:rsidRPr="00DA0462">
        <w:rPr>
          <w:rFonts w:ascii="Calibri" w:hAnsi="Calibri"/>
        </w:rPr>
        <w:t>to identify</w:t>
      </w:r>
      <w:r w:rsidRPr="00DA0462">
        <w:rPr>
          <w:rFonts w:ascii="Calibri" w:hAnsi="Calibri"/>
        </w:rPr>
        <w:t xml:space="preserve"> those who were identified by the community and brought into the CCT but for one reason or the other cannot be traced back to the community list.</w:t>
      </w:r>
      <w:r w:rsidR="001C6083" w:rsidRPr="00DA0462">
        <w:rPr>
          <w:rFonts w:ascii="Calibri" w:hAnsi="Calibri"/>
        </w:rPr>
        <w:t xml:space="preserve"> </w:t>
      </w:r>
    </w:p>
    <w:p w14:paraId="783725CF" w14:textId="654AB47B" w:rsidR="00F477CA" w:rsidRPr="00DA0462" w:rsidRDefault="00904DEE" w:rsidP="00D02CD5">
      <w:p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1C6083" w:rsidRPr="00DA0462">
        <w:rPr>
          <w:rFonts w:ascii="Calibri" w:hAnsi="Calibri"/>
        </w:rPr>
        <w:t>h</w:t>
      </w:r>
      <w:r>
        <w:rPr>
          <w:rFonts w:ascii="Calibri" w:hAnsi="Calibri"/>
        </w:rPr>
        <w:t>is</w:t>
      </w:r>
      <w:r w:rsidR="001C6083" w:rsidRPr="00DA0462">
        <w:rPr>
          <w:rFonts w:ascii="Calibri" w:hAnsi="Calibri"/>
        </w:rPr>
        <w:t xml:space="preserve"> audit </w:t>
      </w:r>
      <w:r>
        <w:rPr>
          <w:rFonts w:ascii="Calibri" w:hAnsi="Calibri"/>
        </w:rPr>
        <w:t xml:space="preserve">exercise </w:t>
      </w:r>
      <w:r w:rsidR="001C6083" w:rsidRPr="00DA0462">
        <w:rPr>
          <w:rFonts w:ascii="Calibri" w:hAnsi="Calibri"/>
        </w:rPr>
        <w:t xml:space="preserve">is </w:t>
      </w:r>
      <w:r>
        <w:rPr>
          <w:rFonts w:ascii="Calibri" w:hAnsi="Calibri"/>
        </w:rPr>
        <w:t xml:space="preserve">also </w:t>
      </w:r>
      <w:r w:rsidR="001C6083" w:rsidRPr="00DA0462">
        <w:rPr>
          <w:rFonts w:ascii="Calibri" w:hAnsi="Calibri"/>
        </w:rPr>
        <w:t xml:space="preserve">expected to review payments between made between October 2018 to December 2019.  </w:t>
      </w:r>
    </w:p>
    <w:p w14:paraId="76B27367" w14:textId="52845AB0" w:rsidR="00902454" w:rsidRPr="00DA0462" w:rsidRDefault="006530B2" w:rsidP="00765B65">
      <w:pPr>
        <w:pStyle w:val="Heading1"/>
        <w:numPr>
          <w:ilvl w:val="0"/>
          <w:numId w:val="21"/>
        </w:numPr>
        <w:spacing w:before="0"/>
        <w:rPr>
          <w:rFonts w:ascii="Calibri" w:hAnsi="Calibri"/>
          <w:kern w:val="0"/>
          <w:sz w:val="24"/>
        </w:rPr>
      </w:pPr>
      <w:r w:rsidRPr="00DA0462">
        <w:rPr>
          <w:rFonts w:ascii="Calibri" w:hAnsi="Calibri"/>
          <w:kern w:val="0"/>
          <w:sz w:val="24"/>
        </w:rPr>
        <w:t>Specific Objective</w:t>
      </w:r>
      <w:r w:rsidR="00045150" w:rsidRPr="00DA0462">
        <w:rPr>
          <w:rFonts w:ascii="Calibri" w:hAnsi="Calibri"/>
          <w:kern w:val="0"/>
          <w:sz w:val="24"/>
        </w:rPr>
        <w:t>s</w:t>
      </w:r>
      <w:r w:rsidR="00D90E47" w:rsidRPr="00DA0462">
        <w:rPr>
          <w:rFonts w:ascii="Calibri" w:hAnsi="Calibri"/>
          <w:kern w:val="0"/>
          <w:sz w:val="24"/>
        </w:rPr>
        <w:t xml:space="preserve"> of the </w:t>
      </w:r>
      <w:r w:rsidR="00385B28">
        <w:rPr>
          <w:rFonts w:ascii="Calibri" w:hAnsi="Calibri"/>
          <w:kern w:val="0"/>
          <w:sz w:val="24"/>
        </w:rPr>
        <w:t>Review</w:t>
      </w:r>
    </w:p>
    <w:p w14:paraId="37022457" w14:textId="77777777" w:rsidR="00902454" w:rsidRPr="00DA0462" w:rsidRDefault="006530B2" w:rsidP="00D02CD5">
      <w:p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</w:rPr>
        <w:t>The objectives</w:t>
      </w:r>
      <w:r w:rsidR="00902454" w:rsidRPr="00DA0462">
        <w:rPr>
          <w:rFonts w:ascii="Calibri" w:hAnsi="Calibri"/>
        </w:rPr>
        <w:t xml:space="preserve"> of the</w:t>
      </w:r>
      <w:r w:rsidR="000A4CFC" w:rsidRPr="00DA0462">
        <w:rPr>
          <w:rFonts w:ascii="Calibri" w:hAnsi="Calibri"/>
        </w:rPr>
        <w:t xml:space="preserve"> consultancy </w:t>
      </w:r>
      <w:r w:rsidRPr="00DA0462">
        <w:rPr>
          <w:rFonts w:ascii="Calibri" w:hAnsi="Calibri"/>
        </w:rPr>
        <w:t>are</w:t>
      </w:r>
      <w:r w:rsidR="00902454" w:rsidRPr="00DA0462">
        <w:rPr>
          <w:rFonts w:ascii="Calibri" w:hAnsi="Calibri"/>
        </w:rPr>
        <w:t>:</w:t>
      </w:r>
    </w:p>
    <w:p w14:paraId="6838E310" w14:textId="7DFABF40" w:rsidR="007E3588" w:rsidRPr="00DA0462" w:rsidRDefault="00B763A0" w:rsidP="00B16B2D">
      <w:pPr>
        <w:pStyle w:val="MediumGrid1-Accent21"/>
        <w:numPr>
          <w:ilvl w:val="0"/>
          <w:numId w:val="3"/>
        </w:num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</w:rPr>
        <w:t>Conduct inde</w:t>
      </w:r>
      <w:r w:rsidR="00154AAB" w:rsidRPr="00DA0462">
        <w:rPr>
          <w:rFonts w:ascii="Calibri" w:hAnsi="Calibri"/>
        </w:rPr>
        <w:t>pendent review and validation of</w:t>
      </w:r>
      <w:r w:rsidRPr="00DA0462">
        <w:rPr>
          <w:rFonts w:ascii="Calibri" w:hAnsi="Calibri"/>
        </w:rPr>
        <w:t xml:space="preserve"> the </w:t>
      </w:r>
      <w:r w:rsidR="00F477CA" w:rsidRPr="00DA0462">
        <w:rPr>
          <w:rFonts w:ascii="Calibri" w:hAnsi="Calibri"/>
        </w:rPr>
        <w:t>13,</w:t>
      </w:r>
      <w:r w:rsidR="008F268B" w:rsidRPr="00DA0462">
        <w:rPr>
          <w:rFonts w:ascii="Calibri" w:hAnsi="Calibri"/>
        </w:rPr>
        <w:t>017</w:t>
      </w:r>
      <w:r w:rsidR="00F477CA" w:rsidRPr="00DA0462">
        <w:rPr>
          <w:rFonts w:ascii="Calibri" w:hAnsi="Calibri"/>
        </w:rPr>
        <w:t xml:space="preserve"> </w:t>
      </w:r>
      <w:r w:rsidR="00DE244C" w:rsidRPr="00DA0462">
        <w:rPr>
          <w:rFonts w:ascii="Calibri" w:hAnsi="Calibri"/>
        </w:rPr>
        <w:t xml:space="preserve">beneficiary HHs </w:t>
      </w:r>
      <w:r w:rsidR="00F477CA" w:rsidRPr="00DA0462">
        <w:rPr>
          <w:rFonts w:ascii="Calibri" w:hAnsi="Calibri"/>
        </w:rPr>
        <w:t>that ha</w:t>
      </w:r>
      <w:r w:rsidR="00904DEE">
        <w:rPr>
          <w:rFonts w:ascii="Calibri" w:hAnsi="Calibri"/>
        </w:rPr>
        <w:t>ve</w:t>
      </w:r>
      <w:r w:rsidR="00F477CA" w:rsidRPr="00DA0462">
        <w:rPr>
          <w:rFonts w:ascii="Calibri" w:hAnsi="Calibri"/>
        </w:rPr>
        <w:t xml:space="preserve"> not been traced back to the community harmonized list</w:t>
      </w:r>
      <w:r w:rsidR="008F268B" w:rsidRPr="00DA0462">
        <w:rPr>
          <w:rFonts w:ascii="Calibri" w:hAnsi="Calibri"/>
        </w:rPr>
        <w:t xml:space="preserve"> through identifying the beneficiaries and establishing their existence or otherwise.</w:t>
      </w:r>
      <w:r w:rsidRPr="00DA0462">
        <w:rPr>
          <w:rFonts w:ascii="Calibri" w:hAnsi="Calibri"/>
        </w:rPr>
        <w:t xml:space="preserve"> </w:t>
      </w:r>
    </w:p>
    <w:p w14:paraId="696BC543" w14:textId="77777777" w:rsidR="00F477CA" w:rsidRPr="00DA0462" w:rsidRDefault="008B5696" w:rsidP="00B16B2D">
      <w:pPr>
        <w:pStyle w:val="MediumGrid1-Accent21"/>
        <w:numPr>
          <w:ilvl w:val="0"/>
          <w:numId w:val="3"/>
        </w:num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</w:rPr>
        <w:t>E</w:t>
      </w:r>
      <w:r w:rsidR="00B02FB6" w:rsidRPr="00DA0462">
        <w:rPr>
          <w:rFonts w:ascii="Calibri" w:hAnsi="Calibri"/>
        </w:rPr>
        <w:t>stablish the payment p</w:t>
      </w:r>
      <w:r w:rsidR="00927CD6" w:rsidRPr="00DA0462">
        <w:rPr>
          <w:rFonts w:ascii="Calibri" w:hAnsi="Calibri"/>
        </w:rPr>
        <w:t>eriods and the expended</w:t>
      </w:r>
      <w:r w:rsidR="00D90E47" w:rsidRPr="00DA0462">
        <w:rPr>
          <w:rFonts w:ascii="Calibri" w:hAnsi="Calibri"/>
        </w:rPr>
        <w:t xml:space="preserve"> amount</w:t>
      </w:r>
      <w:r w:rsidR="00927CD6" w:rsidRPr="00DA0462">
        <w:rPr>
          <w:rFonts w:ascii="Calibri" w:hAnsi="Calibri"/>
        </w:rPr>
        <w:t xml:space="preserve"> on the</w:t>
      </w:r>
      <w:r w:rsidR="00B02FB6" w:rsidRPr="00DA0462">
        <w:rPr>
          <w:rFonts w:ascii="Calibri" w:hAnsi="Calibri"/>
        </w:rPr>
        <w:t xml:space="preserve"> </w:t>
      </w:r>
      <w:r w:rsidR="00F477CA" w:rsidRPr="00DA0462">
        <w:rPr>
          <w:rFonts w:ascii="Calibri" w:hAnsi="Calibri"/>
        </w:rPr>
        <w:t>13,</w:t>
      </w:r>
      <w:r w:rsidR="008F268B" w:rsidRPr="00DA0462">
        <w:rPr>
          <w:rFonts w:ascii="Calibri" w:hAnsi="Calibri"/>
        </w:rPr>
        <w:t>0</w:t>
      </w:r>
      <w:r w:rsidR="00F477CA" w:rsidRPr="00DA0462">
        <w:rPr>
          <w:rFonts w:ascii="Calibri" w:hAnsi="Calibri"/>
        </w:rPr>
        <w:t xml:space="preserve">17 </w:t>
      </w:r>
      <w:r w:rsidR="00B02FB6" w:rsidRPr="00DA0462">
        <w:rPr>
          <w:rFonts w:ascii="Calibri" w:hAnsi="Calibri"/>
        </w:rPr>
        <w:t>beneficiaries</w:t>
      </w:r>
      <w:r w:rsidR="00F477CA" w:rsidRPr="00DA0462">
        <w:rPr>
          <w:rFonts w:ascii="Calibri" w:hAnsi="Calibri"/>
        </w:rPr>
        <w:t>.</w:t>
      </w:r>
    </w:p>
    <w:p w14:paraId="667B7D1F" w14:textId="75FBB710" w:rsidR="001C6083" w:rsidRPr="00DA0462" w:rsidRDefault="00F477CA" w:rsidP="00B16B2D">
      <w:pPr>
        <w:pStyle w:val="MediumGrid1-Accent21"/>
        <w:numPr>
          <w:ilvl w:val="0"/>
          <w:numId w:val="3"/>
        </w:num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</w:rPr>
        <w:t>Review all payments</w:t>
      </w:r>
      <w:r w:rsidR="001C6083" w:rsidRPr="00DA0462">
        <w:rPr>
          <w:rStyle w:val="FootnoteReference"/>
          <w:rFonts w:ascii="Calibri" w:hAnsi="Calibri"/>
        </w:rPr>
        <w:footnoteReference w:id="2"/>
      </w:r>
      <w:r w:rsidRPr="00DA0462">
        <w:rPr>
          <w:rFonts w:ascii="Calibri" w:hAnsi="Calibri"/>
        </w:rPr>
        <w:t xml:space="preserve"> by the Service Provide</w:t>
      </w:r>
      <w:r w:rsidR="00904DEE">
        <w:rPr>
          <w:rFonts w:ascii="Calibri" w:hAnsi="Calibri"/>
        </w:rPr>
        <w:t>r</w:t>
      </w:r>
      <w:r w:rsidRPr="00DA0462">
        <w:rPr>
          <w:rFonts w:ascii="Calibri" w:hAnsi="Calibri"/>
        </w:rPr>
        <w:t xml:space="preserve">s and </w:t>
      </w:r>
      <w:r w:rsidR="00904DEE">
        <w:rPr>
          <w:rFonts w:ascii="Calibri" w:hAnsi="Calibri"/>
        </w:rPr>
        <w:t xml:space="preserve">confirm the </w:t>
      </w:r>
      <w:proofErr w:type="spellStart"/>
      <w:r w:rsidRPr="00DA0462">
        <w:rPr>
          <w:rFonts w:ascii="Calibri" w:hAnsi="Calibri"/>
        </w:rPr>
        <w:t>the</w:t>
      </w:r>
      <w:proofErr w:type="spellEnd"/>
      <w:r w:rsidRPr="00DA0462">
        <w:rPr>
          <w:rFonts w:ascii="Calibri" w:hAnsi="Calibri"/>
        </w:rPr>
        <w:t xml:space="preserve"> reconciliation</w:t>
      </w:r>
      <w:r w:rsidR="005C4630" w:rsidRPr="00DA0462">
        <w:rPr>
          <w:rFonts w:ascii="Calibri" w:hAnsi="Calibri"/>
        </w:rPr>
        <w:t>,</w:t>
      </w:r>
      <w:r w:rsidRPr="00DA0462">
        <w:rPr>
          <w:rFonts w:ascii="Calibri" w:hAnsi="Calibri"/>
        </w:rPr>
        <w:t xml:space="preserve"> therefore</w:t>
      </w:r>
      <w:r w:rsidR="005C4630" w:rsidRPr="00DA0462">
        <w:rPr>
          <w:rFonts w:ascii="Calibri" w:hAnsi="Calibri"/>
        </w:rPr>
        <w:t>,</w:t>
      </w:r>
      <w:r w:rsidRPr="00DA0462">
        <w:rPr>
          <w:rFonts w:ascii="Calibri" w:hAnsi="Calibri"/>
        </w:rPr>
        <w:t xml:space="preserve"> </w:t>
      </w:r>
      <w:r w:rsidR="008F268B" w:rsidRPr="00DA0462">
        <w:rPr>
          <w:rFonts w:ascii="Calibri" w:hAnsi="Calibri"/>
        </w:rPr>
        <w:t xml:space="preserve">from </w:t>
      </w:r>
      <w:r w:rsidR="001C6083" w:rsidRPr="00DA0462">
        <w:rPr>
          <w:rFonts w:ascii="Calibri" w:hAnsi="Calibri"/>
        </w:rPr>
        <w:t xml:space="preserve">the </w:t>
      </w:r>
      <w:r w:rsidR="008F268B" w:rsidRPr="00DA0462">
        <w:rPr>
          <w:rFonts w:ascii="Calibri" w:hAnsi="Calibri"/>
        </w:rPr>
        <w:t xml:space="preserve">inception of CCT to </w:t>
      </w:r>
      <w:r w:rsidR="001C6083" w:rsidRPr="00DA0462">
        <w:rPr>
          <w:rFonts w:ascii="Calibri" w:hAnsi="Calibri"/>
        </w:rPr>
        <w:t xml:space="preserve">December </w:t>
      </w:r>
      <w:r w:rsidR="008F268B" w:rsidRPr="00DA0462">
        <w:rPr>
          <w:rFonts w:ascii="Calibri" w:hAnsi="Calibri"/>
        </w:rPr>
        <w:t xml:space="preserve">2019 </w:t>
      </w:r>
      <w:r w:rsidRPr="00DA0462">
        <w:rPr>
          <w:rFonts w:ascii="Calibri" w:hAnsi="Calibri"/>
        </w:rPr>
        <w:t>to establish if overpayments</w:t>
      </w:r>
      <w:r w:rsidR="008B2183" w:rsidRPr="00DA0462">
        <w:rPr>
          <w:rFonts w:ascii="Calibri" w:hAnsi="Calibri"/>
        </w:rPr>
        <w:t>, mismatch</w:t>
      </w:r>
      <w:r w:rsidR="005C4630" w:rsidRPr="00DA0462">
        <w:rPr>
          <w:rFonts w:ascii="Calibri" w:hAnsi="Calibri"/>
        </w:rPr>
        <w:t>,</w:t>
      </w:r>
      <w:r w:rsidRPr="00DA0462">
        <w:rPr>
          <w:rFonts w:ascii="Calibri" w:hAnsi="Calibri"/>
        </w:rPr>
        <w:t xml:space="preserve"> or underpayments </w:t>
      </w:r>
      <w:r w:rsidR="00904DEE">
        <w:rPr>
          <w:rFonts w:ascii="Calibri" w:hAnsi="Calibri"/>
        </w:rPr>
        <w:t xml:space="preserve">occurred </w:t>
      </w:r>
      <w:r w:rsidRPr="00DA0462">
        <w:rPr>
          <w:rFonts w:ascii="Calibri" w:hAnsi="Calibri"/>
        </w:rPr>
        <w:t xml:space="preserve">in each </w:t>
      </w:r>
      <w:r w:rsidR="00904DEE">
        <w:rPr>
          <w:rFonts w:ascii="Calibri" w:hAnsi="Calibri"/>
        </w:rPr>
        <w:t xml:space="preserve">or any </w:t>
      </w:r>
      <w:r w:rsidRPr="00DA0462">
        <w:rPr>
          <w:rFonts w:ascii="Calibri" w:hAnsi="Calibri"/>
        </w:rPr>
        <w:t>of the States</w:t>
      </w:r>
      <w:r w:rsidR="001C6083" w:rsidRPr="00DA0462">
        <w:rPr>
          <w:rFonts w:ascii="Calibri" w:hAnsi="Calibri"/>
        </w:rPr>
        <w:t>.</w:t>
      </w:r>
    </w:p>
    <w:p w14:paraId="2A7BE9AD" w14:textId="3A19ED1D" w:rsidR="001C6083" w:rsidRPr="00DA0462" w:rsidRDefault="001C6083" w:rsidP="00B16B2D">
      <w:pPr>
        <w:pStyle w:val="MediumGrid1-Accent21"/>
        <w:numPr>
          <w:ilvl w:val="0"/>
          <w:numId w:val="3"/>
        </w:num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</w:rPr>
        <w:t xml:space="preserve">Review MIS data with the NCTO payment schedule (for </w:t>
      </w:r>
      <w:r w:rsidR="00904DEE">
        <w:rPr>
          <w:rFonts w:ascii="Calibri" w:hAnsi="Calibri"/>
        </w:rPr>
        <w:t>b</w:t>
      </w:r>
      <w:r w:rsidRPr="00DA0462">
        <w:rPr>
          <w:rFonts w:ascii="Calibri" w:hAnsi="Calibri"/>
        </w:rPr>
        <w:t>ase, top-up</w:t>
      </w:r>
      <w:r w:rsidR="005C4630" w:rsidRPr="00DA0462">
        <w:rPr>
          <w:rFonts w:ascii="Calibri" w:hAnsi="Calibri"/>
        </w:rPr>
        <w:t>,</w:t>
      </w:r>
      <w:r w:rsidRPr="00DA0462">
        <w:rPr>
          <w:rFonts w:ascii="Calibri" w:hAnsi="Calibri"/>
        </w:rPr>
        <w:t xml:space="preserve"> and arrears) shared with PSPs</w:t>
      </w:r>
      <w:r w:rsidR="00904DEE">
        <w:rPr>
          <w:rFonts w:ascii="Calibri" w:hAnsi="Calibri"/>
        </w:rPr>
        <w:t>, as well as</w:t>
      </w:r>
      <w:r w:rsidRPr="00DA0462">
        <w:rPr>
          <w:rFonts w:ascii="Calibri" w:hAnsi="Calibri"/>
        </w:rPr>
        <w:t xml:space="preserve"> PSPs to their payment agents at the community level. </w:t>
      </w:r>
    </w:p>
    <w:p w14:paraId="6EC05C66" w14:textId="6268FB9F" w:rsidR="001C6083" w:rsidRPr="00DA0462" w:rsidRDefault="001C6083" w:rsidP="00B16B2D">
      <w:pPr>
        <w:pStyle w:val="MediumGrid1-Accent21"/>
        <w:numPr>
          <w:ilvl w:val="0"/>
          <w:numId w:val="3"/>
        </w:num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</w:rPr>
        <w:lastRenderedPageBreak/>
        <w:t>Match sampled beneficiaries of their eligible payment in comparison to actual amount</w:t>
      </w:r>
      <w:r w:rsidR="00904DEE">
        <w:rPr>
          <w:rFonts w:ascii="Calibri" w:hAnsi="Calibri"/>
        </w:rPr>
        <w:t>s</w:t>
      </w:r>
      <w:r w:rsidRPr="00DA0462">
        <w:rPr>
          <w:rFonts w:ascii="Calibri" w:hAnsi="Calibri"/>
        </w:rPr>
        <w:t xml:space="preserve"> received; for the base payment, top-up</w:t>
      </w:r>
      <w:r w:rsidR="005C4630" w:rsidRPr="00DA0462">
        <w:rPr>
          <w:rFonts w:ascii="Calibri" w:hAnsi="Calibri"/>
        </w:rPr>
        <w:t>,</w:t>
      </w:r>
      <w:r w:rsidRPr="00DA0462">
        <w:rPr>
          <w:rFonts w:ascii="Calibri" w:hAnsi="Calibri"/>
        </w:rPr>
        <w:t xml:space="preserve"> and arrears. </w:t>
      </w:r>
    </w:p>
    <w:p w14:paraId="64A5AAFD" w14:textId="61BBFEAC" w:rsidR="00D90E47" w:rsidRPr="00DA0462" w:rsidRDefault="001C6083" w:rsidP="00B16B2D">
      <w:pPr>
        <w:pStyle w:val="MediumGrid1-Accent21"/>
        <w:numPr>
          <w:ilvl w:val="0"/>
          <w:numId w:val="3"/>
        </w:num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</w:rPr>
        <w:t>Match</w:t>
      </w:r>
      <w:r w:rsidR="00F477CA" w:rsidRPr="00DA0462">
        <w:rPr>
          <w:rFonts w:ascii="Calibri" w:hAnsi="Calibri"/>
        </w:rPr>
        <w:t xml:space="preserve"> </w:t>
      </w:r>
      <w:r w:rsidRPr="00DA0462">
        <w:rPr>
          <w:rFonts w:ascii="Calibri" w:hAnsi="Calibri"/>
        </w:rPr>
        <w:t>reconciliation between NBR and NSR after payments</w:t>
      </w:r>
      <w:r w:rsidR="00904DEE">
        <w:rPr>
          <w:rFonts w:ascii="Calibri" w:hAnsi="Calibri"/>
        </w:rPr>
        <w:t>, as well as</w:t>
      </w:r>
      <w:r w:rsidRPr="00DA0462">
        <w:rPr>
          <w:rFonts w:ascii="Calibri" w:hAnsi="Calibri"/>
        </w:rPr>
        <w:t xml:space="preserve"> </w:t>
      </w:r>
      <w:r w:rsidR="00F477CA" w:rsidRPr="00DA0462">
        <w:rPr>
          <w:rFonts w:ascii="Calibri" w:hAnsi="Calibri"/>
        </w:rPr>
        <w:t xml:space="preserve">refunds </w:t>
      </w:r>
      <w:r w:rsidRPr="00DA0462">
        <w:rPr>
          <w:rFonts w:ascii="Calibri" w:hAnsi="Calibri"/>
        </w:rPr>
        <w:t>after payment reconciliation back</w:t>
      </w:r>
      <w:r w:rsidR="00F477CA" w:rsidRPr="00DA0462">
        <w:rPr>
          <w:rFonts w:ascii="Calibri" w:hAnsi="Calibri"/>
        </w:rPr>
        <w:t xml:space="preserve"> into the NCTO accounts.</w:t>
      </w:r>
      <w:r w:rsidR="00B02FB6" w:rsidRPr="00DA0462">
        <w:rPr>
          <w:rFonts w:ascii="Calibri" w:hAnsi="Calibri"/>
        </w:rPr>
        <w:t xml:space="preserve"> </w:t>
      </w:r>
    </w:p>
    <w:p w14:paraId="429DA884" w14:textId="77777777" w:rsidR="008B2183" w:rsidRPr="00DA0462" w:rsidRDefault="008B2183" w:rsidP="00B16B2D">
      <w:pPr>
        <w:pStyle w:val="MediumGrid1-Accent21"/>
        <w:numPr>
          <w:ilvl w:val="0"/>
          <w:numId w:val="3"/>
        </w:num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</w:rPr>
        <w:t xml:space="preserve">Select a sample SCTU per zone and match the flow of payment </w:t>
      </w:r>
      <w:r w:rsidR="004C342E" w:rsidRPr="00DA0462">
        <w:rPr>
          <w:rFonts w:ascii="Calibri" w:hAnsi="Calibri"/>
        </w:rPr>
        <w:t>from</w:t>
      </w:r>
      <w:r w:rsidRPr="00DA0462">
        <w:rPr>
          <w:rFonts w:ascii="Calibri" w:hAnsi="Calibri"/>
        </w:rPr>
        <w:t xml:space="preserve"> NCTO to SCTU. </w:t>
      </w:r>
    </w:p>
    <w:p w14:paraId="59213DE4" w14:textId="3F07388C" w:rsidR="00154AAB" w:rsidRPr="00DA0462" w:rsidRDefault="00154AAB" w:rsidP="00B16B2D">
      <w:pPr>
        <w:pStyle w:val="MediumGrid1-Accent21"/>
        <w:numPr>
          <w:ilvl w:val="0"/>
          <w:numId w:val="3"/>
        </w:numPr>
        <w:spacing w:after="60"/>
        <w:jc w:val="both"/>
        <w:rPr>
          <w:rFonts w:asciiTheme="minorHAnsi" w:hAnsiTheme="minorHAnsi"/>
        </w:rPr>
      </w:pPr>
      <w:r w:rsidRPr="00DA0462">
        <w:rPr>
          <w:rFonts w:ascii="Calibri" w:hAnsi="Calibri"/>
        </w:rPr>
        <w:t xml:space="preserve">Make recommendations and suggest </w:t>
      </w:r>
      <w:r w:rsidR="008B2183" w:rsidRPr="00DA0462">
        <w:rPr>
          <w:rFonts w:ascii="Calibri" w:hAnsi="Calibri"/>
        </w:rPr>
        <w:t xml:space="preserve">the </w:t>
      </w:r>
      <w:r w:rsidRPr="00DA0462">
        <w:rPr>
          <w:rFonts w:ascii="Calibri" w:hAnsi="Calibri"/>
        </w:rPr>
        <w:t>next steps</w:t>
      </w:r>
      <w:r w:rsidR="005C4630" w:rsidRPr="00DA0462">
        <w:rPr>
          <w:rFonts w:ascii="Calibri" w:hAnsi="Calibri"/>
        </w:rPr>
        <w:t>,</w:t>
      </w:r>
      <w:r w:rsidRPr="00DA0462">
        <w:rPr>
          <w:rFonts w:ascii="Calibri" w:hAnsi="Calibri"/>
        </w:rPr>
        <w:t xml:space="preserve"> especially for the beneficiaries that are validated as </w:t>
      </w:r>
      <w:r w:rsidR="00904DEE">
        <w:rPr>
          <w:rFonts w:ascii="Calibri" w:hAnsi="Calibri"/>
        </w:rPr>
        <w:t>properly</w:t>
      </w:r>
      <w:r w:rsidR="008B2183" w:rsidRPr="00DA0462">
        <w:rPr>
          <w:rFonts w:ascii="Calibri" w:hAnsi="Calibri"/>
        </w:rPr>
        <w:t xml:space="preserve"> </w:t>
      </w:r>
      <w:r w:rsidRPr="00DA0462">
        <w:rPr>
          <w:rFonts w:ascii="Calibri" w:hAnsi="Calibri"/>
        </w:rPr>
        <w:t>identified by the communities.</w:t>
      </w:r>
    </w:p>
    <w:p w14:paraId="77328285" w14:textId="77777777" w:rsidR="00F10992" w:rsidRPr="00DA0462" w:rsidRDefault="00F10992" w:rsidP="00637E1D">
      <w:pPr>
        <w:numPr>
          <w:ilvl w:val="0"/>
          <w:numId w:val="3"/>
        </w:numPr>
        <w:spacing w:after="6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Advise on governance standards and protocols for use of the MIS to support payment processes </w:t>
      </w:r>
    </w:p>
    <w:p w14:paraId="7F451BA9" w14:textId="77777777" w:rsidR="00902454" w:rsidRPr="00DA0462" w:rsidRDefault="00902454" w:rsidP="00765B65">
      <w:pPr>
        <w:pStyle w:val="Heading1"/>
        <w:numPr>
          <w:ilvl w:val="0"/>
          <w:numId w:val="21"/>
        </w:numPr>
        <w:spacing w:before="0"/>
        <w:rPr>
          <w:rFonts w:ascii="Calibri" w:hAnsi="Calibri"/>
          <w:kern w:val="0"/>
          <w:sz w:val="24"/>
        </w:rPr>
      </w:pPr>
      <w:r w:rsidRPr="00DA0462">
        <w:rPr>
          <w:rFonts w:ascii="Calibri" w:hAnsi="Calibri"/>
          <w:kern w:val="0"/>
          <w:sz w:val="24"/>
        </w:rPr>
        <w:t xml:space="preserve">Scope of the </w:t>
      </w:r>
      <w:r w:rsidR="00075A2E" w:rsidRPr="00DA0462">
        <w:rPr>
          <w:rFonts w:ascii="Calibri" w:hAnsi="Calibri"/>
          <w:kern w:val="0"/>
          <w:sz w:val="24"/>
        </w:rPr>
        <w:t>A</w:t>
      </w:r>
      <w:r w:rsidRPr="00DA0462">
        <w:rPr>
          <w:rFonts w:ascii="Calibri" w:hAnsi="Calibri"/>
          <w:kern w:val="0"/>
          <w:sz w:val="24"/>
        </w:rPr>
        <w:t>ssignment</w:t>
      </w:r>
    </w:p>
    <w:p w14:paraId="19430C6C" w14:textId="12ECF7B9" w:rsidR="00075A2E" w:rsidRPr="00DA0462" w:rsidRDefault="00075A2E" w:rsidP="00075A2E">
      <w:pPr>
        <w:numPr>
          <w:ilvl w:val="0"/>
          <w:numId w:val="26"/>
        </w:num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  <w:b/>
          <w:i/>
        </w:rPr>
        <w:t>Desk Review</w:t>
      </w:r>
      <w:r w:rsidRPr="00DA0462">
        <w:rPr>
          <w:rFonts w:ascii="Calibri" w:hAnsi="Calibri"/>
          <w:b/>
        </w:rPr>
        <w:t xml:space="preserve">: </w:t>
      </w:r>
      <w:r w:rsidRPr="00DA0462">
        <w:rPr>
          <w:rFonts w:ascii="Calibri" w:hAnsi="Calibri"/>
        </w:rPr>
        <w:t xml:space="preserve">As an integral part of the planning process, the consultant(s) need to be conversant and </w:t>
      </w:r>
      <w:r w:rsidR="004C342E" w:rsidRPr="00DA0462">
        <w:rPr>
          <w:rFonts w:ascii="Calibri" w:hAnsi="Calibri"/>
        </w:rPr>
        <w:t>understand</w:t>
      </w:r>
      <w:r w:rsidRPr="00DA0462">
        <w:rPr>
          <w:rFonts w:ascii="Calibri" w:hAnsi="Calibri"/>
        </w:rPr>
        <w:t xml:space="preserve"> the project through a review of </w:t>
      </w:r>
      <w:r w:rsidR="008B2183" w:rsidRPr="00DA0462">
        <w:rPr>
          <w:rFonts w:ascii="Calibri" w:hAnsi="Calibri"/>
        </w:rPr>
        <w:t>project-</w:t>
      </w:r>
      <w:r w:rsidRPr="00DA0462">
        <w:rPr>
          <w:rFonts w:ascii="Calibri" w:hAnsi="Calibri"/>
        </w:rPr>
        <w:t>related documents. These will include:</w:t>
      </w:r>
    </w:p>
    <w:p w14:paraId="3C403F9C" w14:textId="77777777" w:rsidR="00075A2E" w:rsidRPr="002E53B5" w:rsidRDefault="00075A2E" w:rsidP="00B16B2D">
      <w:pPr>
        <w:pStyle w:val="MediumGrid1-Accent21"/>
        <w:numPr>
          <w:ilvl w:val="0"/>
          <w:numId w:val="27"/>
        </w:numPr>
        <w:spacing w:after="60"/>
        <w:jc w:val="both"/>
        <w:rPr>
          <w:rFonts w:ascii="Calibri" w:hAnsi="Calibri"/>
          <w:sz w:val="22"/>
        </w:rPr>
      </w:pPr>
      <w:r w:rsidRPr="002E53B5">
        <w:rPr>
          <w:rFonts w:ascii="Calibri" w:hAnsi="Calibri"/>
          <w:sz w:val="22"/>
        </w:rPr>
        <w:t xml:space="preserve">Financing Agreement and Disbursement Letter </w:t>
      </w:r>
    </w:p>
    <w:p w14:paraId="07D51C3E" w14:textId="77777777" w:rsidR="00075A2E" w:rsidRPr="002E53B5" w:rsidRDefault="00075A2E" w:rsidP="00B16B2D">
      <w:pPr>
        <w:pStyle w:val="MediumGrid1-Accent21"/>
        <w:numPr>
          <w:ilvl w:val="0"/>
          <w:numId w:val="27"/>
        </w:numPr>
        <w:spacing w:after="60"/>
        <w:jc w:val="both"/>
        <w:rPr>
          <w:rFonts w:ascii="Calibri" w:hAnsi="Calibri"/>
          <w:sz w:val="22"/>
        </w:rPr>
      </w:pPr>
      <w:r w:rsidRPr="002E53B5">
        <w:rPr>
          <w:rFonts w:ascii="Calibri" w:hAnsi="Calibri"/>
          <w:sz w:val="22"/>
        </w:rPr>
        <w:t xml:space="preserve">Project Implementation Manual and related Financial management and Procurement manuals, including annexes </w:t>
      </w:r>
    </w:p>
    <w:p w14:paraId="15A91E77" w14:textId="27E82BE1" w:rsidR="00075A2E" w:rsidRPr="002E53B5" w:rsidRDefault="008B2183" w:rsidP="00B16B2D">
      <w:pPr>
        <w:pStyle w:val="MediumGrid1-Accent21"/>
        <w:numPr>
          <w:ilvl w:val="0"/>
          <w:numId w:val="27"/>
        </w:numPr>
        <w:spacing w:after="60"/>
        <w:jc w:val="both"/>
        <w:rPr>
          <w:rFonts w:ascii="Calibri" w:hAnsi="Calibri"/>
          <w:sz w:val="22"/>
        </w:rPr>
      </w:pPr>
      <w:r w:rsidRPr="002E53B5">
        <w:rPr>
          <w:rFonts w:ascii="Calibri" w:hAnsi="Calibri"/>
          <w:sz w:val="22"/>
        </w:rPr>
        <w:t>Community-</w:t>
      </w:r>
      <w:r w:rsidR="00075A2E" w:rsidRPr="002E53B5">
        <w:rPr>
          <w:rFonts w:ascii="Calibri" w:hAnsi="Calibri"/>
          <w:sz w:val="22"/>
        </w:rPr>
        <w:t>Based Targeting Manual</w:t>
      </w:r>
    </w:p>
    <w:p w14:paraId="14026797" w14:textId="77777777" w:rsidR="00075A2E" w:rsidRPr="002E53B5" w:rsidRDefault="00075A2E" w:rsidP="00B16B2D">
      <w:pPr>
        <w:pStyle w:val="MediumGrid1-Accent21"/>
        <w:numPr>
          <w:ilvl w:val="0"/>
          <w:numId w:val="27"/>
        </w:numPr>
        <w:spacing w:after="60"/>
        <w:jc w:val="both"/>
        <w:rPr>
          <w:rFonts w:ascii="Calibri" w:hAnsi="Calibri"/>
          <w:sz w:val="22"/>
        </w:rPr>
      </w:pPr>
      <w:r w:rsidRPr="002E53B5">
        <w:rPr>
          <w:rFonts w:ascii="Calibri" w:hAnsi="Calibri"/>
          <w:sz w:val="22"/>
        </w:rPr>
        <w:t xml:space="preserve">Cash Transfer Operating Manual </w:t>
      </w:r>
    </w:p>
    <w:p w14:paraId="3B4CD3B6" w14:textId="77777777" w:rsidR="00075A2E" w:rsidRPr="002E53B5" w:rsidRDefault="00075A2E" w:rsidP="00B16B2D">
      <w:pPr>
        <w:pStyle w:val="MediumGrid1-Accent21"/>
        <w:numPr>
          <w:ilvl w:val="0"/>
          <w:numId w:val="27"/>
        </w:numPr>
        <w:spacing w:after="60"/>
        <w:jc w:val="both"/>
        <w:rPr>
          <w:rFonts w:ascii="Calibri" w:hAnsi="Calibri"/>
          <w:sz w:val="22"/>
        </w:rPr>
      </w:pPr>
      <w:r w:rsidRPr="002E53B5">
        <w:rPr>
          <w:rFonts w:ascii="Calibri" w:hAnsi="Calibri"/>
          <w:sz w:val="22"/>
        </w:rPr>
        <w:t>Project Appraisal Document</w:t>
      </w:r>
    </w:p>
    <w:p w14:paraId="0D62CE61" w14:textId="77777777" w:rsidR="00075A2E" w:rsidRPr="002E53B5" w:rsidRDefault="00075A2E" w:rsidP="00B16B2D">
      <w:pPr>
        <w:pStyle w:val="MediumGrid1-Accent21"/>
        <w:numPr>
          <w:ilvl w:val="0"/>
          <w:numId w:val="27"/>
        </w:numPr>
        <w:spacing w:after="60"/>
        <w:jc w:val="both"/>
        <w:rPr>
          <w:rFonts w:ascii="Calibri" w:hAnsi="Calibri"/>
          <w:sz w:val="22"/>
        </w:rPr>
      </w:pPr>
      <w:r w:rsidRPr="002E53B5">
        <w:rPr>
          <w:rFonts w:ascii="Calibri" w:hAnsi="Calibri"/>
          <w:sz w:val="22"/>
        </w:rPr>
        <w:t>Report of the matching exercise</w:t>
      </w:r>
    </w:p>
    <w:p w14:paraId="229409E0" w14:textId="10E82F02" w:rsidR="00F477CA" w:rsidRPr="002E53B5" w:rsidRDefault="00F477CA" w:rsidP="00B16B2D">
      <w:pPr>
        <w:pStyle w:val="MediumGrid1-Accent21"/>
        <w:numPr>
          <w:ilvl w:val="0"/>
          <w:numId w:val="27"/>
        </w:numPr>
        <w:spacing w:after="60"/>
        <w:jc w:val="both"/>
        <w:rPr>
          <w:rFonts w:ascii="Calibri" w:hAnsi="Calibri"/>
          <w:sz w:val="22"/>
        </w:rPr>
      </w:pPr>
      <w:r w:rsidRPr="002E53B5">
        <w:rPr>
          <w:rFonts w:ascii="Calibri" w:hAnsi="Calibri"/>
          <w:sz w:val="22"/>
        </w:rPr>
        <w:t xml:space="preserve">Report </w:t>
      </w:r>
      <w:r w:rsidR="008B2183" w:rsidRPr="002E53B5">
        <w:rPr>
          <w:rFonts w:ascii="Calibri" w:hAnsi="Calibri"/>
          <w:sz w:val="22"/>
        </w:rPr>
        <w:t xml:space="preserve">on </w:t>
      </w:r>
      <w:r w:rsidRPr="002E53B5">
        <w:rPr>
          <w:rFonts w:ascii="Calibri" w:hAnsi="Calibri"/>
          <w:sz w:val="22"/>
        </w:rPr>
        <w:t>the NBR audit</w:t>
      </w:r>
    </w:p>
    <w:p w14:paraId="244B976A" w14:textId="77777777" w:rsidR="00F477CA" w:rsidRPr="002E53B5" w:rsidRDefault="00F477CA" w:rsidP="00B16B2D">
      <w:pPr>
        <w:pStyle w:val="MediumGrid1-Accent21"/>
        <w:numPr>
          <w:ilvl w:val="0"/>
          <w:numId w:val="27"/>
        </w:numPr>
        <w:spacing w:after="60"/>
        <w:jc w:val="both"/>
        <w:rPr>
          <w:rFonts w:ascii="Calibri" w:hAnsi="Calibri"/>
          <w:sz w:val="22"/>
        </w:rPr>
      </w:pPr>
      <w:r w:rsidRPr="002E53B5">
        <w:rPr>
          <w:rFonts w:ascii="Calibri" w:hAnsi="Calibri"/>
          <w:sz w:val="22"/>
        </w:rPr>
        <w:t>Report of the CCT quarterly audits by the OAGF</w:t>
      </w:r>
    </w:p>
    <w:p w14:paraId="02FC8A77" w14:textId="77777777" w:rsidR="00F477CA" w:rsidRPr="002E53B5" w:rsidRDefault="00075A2E" w:rsidP="00B16B2D">
      <w:pPr>
        <w:pStyle w:val="MediumGrid1-Accent21"/>
        <w:numPr>
          <w:ilvl w:val="0"/>
          <w:numId w:val="27"/>
        </w:numPr>
        <w:spacing w:after="60"/>
        <w:jc w:val="both"/>
        <w:rPr>
          <w:rFonts w:ascii="Calibri" w:hAnsi="Calibri"/>
          <w:sz w:val="22"/>
        </w:rPr>
      </w:pPr>
      <w:r w:rsidRPr="002E53B5">
        <w:rPr>
          <w:rFonts w:ascii="Calibri" w:hAnsi="Calibri"/>
          <w:sz w:val="22"/>
        </w:rPr>
        <w:t xml:space="preserve">List of the beneficiaries not </w:t>
      </w:r>
      <w:r w:rsidR="00F477CA" w:rsidRPr="002E53B5">
        <w:rPr>
          <w:rFonts w:ascii="Calibri" w:hAnsi="Calibri"/>
          <w:sz w:val="22"/>
        </w:rPr>
        <w:t>traced.</w:t>
      </w:r>
    </w:p>
    <w:p w14:paraId="2D589940" w14:textId="77777777" w:rsidR="00075A2E" w:rsidRPr="002E53B5" w:rsidRDefault="00F477CA" w:rsidP="00B16B2D">
      <w:pPr>
        <w:pStyle w:val="MediumGrid1-Accent21"/>
        <w:numPr>
          <w:ilvl w:val="0"/>
          <w:numId w:val="27"/>
        </w:numPr>
        <w:spacing w:after="60"/>
        <w:jc w:val="both"/>
        <w:rPr>
          <w:rFonts w:ascii="Calibri" w:hAnsi="Calibri"/>
          <w:sz w:val="22"/>
        </w:rPr>
      </w:pPr>
      <w:r w:rsidRPr="002E53B5">
        <w:rPr>
          <w:rFonts w:ascii="Calibri" w:hAnsi="Calibri"/>
          <w:sz w:val="22"/>
        </w:rPr>
        <w:t xml:space="preserve"> </w:t>
      </w:r>
      <w:r w:rsidR="008B2183" w:rsidRPr="002E53B5">
        <w:rPr>
          <w:rFonts w:ascii="Calibri" w:hAnsi="Calibri"/>
          <w:sz w:val="22"/>
        </w:rPr>
        <w:t>NCTO payment schedules shared with PSPs</w:t>
      </w:r>
    </w:p>
    <w:p w14:paraId="3AFBF190" w14:textId="77777777" w:rsidR="008B2183" w:rsidRPr="002E53B5" w:rsidRDefault="008B2183" w:rsidP="00B16B2D">
      <w:pPr>
        <w:pStyle w:val="MediumGrid1-Accent21"/>
        <w:numPr>
          <w:ilvl w:val="0"/>
          <w:numId w:val="27"/>
        </w:numPr>
        <w:spacing w:after="60"/>
        <w:jc w:val="both"/>
        <w:rPr>
          <w:rFonts w:ascii="Calibri" w:hAnsi="Calibri"/>
          <w:sz w:val="22"/>
        </w:rPr>
      </w:pPr>
      <w:r w:rsidRPr="002E53B5">
        <w:rPr>
          <w:rFonts w:ascii="Calibri" w:hAnsi="Calibri"/>
          <w:sz w:val="22"/>
        </w:rPr>
        <w:t>The internal Audit report of NCTO for 2019</w:t>
      </w:r>
    </w:p>
    <w:p w14:paraId="6E6EEC77" w14:textId="77777777" w:rsidR="008B2183" w:rsidRPr="002E53B5" w:rsidRDefault="008B2183" w:rsidP="00B16B2D">
      <w:pPr>
        <w:pStyle w:val="MediumGrid1-Accent21"/>
        <w:numPr>
          <w:ilvl w:val="0"/>
          <w:numId w:val="27"/>
        </w:numPr>
        <w:spacing w:after="60"/>
        <w:jc w:val="both"/>
        <w:rPr>
          <w:rFonts w:ascii="Calibri" w:hAnsi="Calibri"/>
          <w:sz w:val="22"/>
        </w:rPr>
      </w:pPr>
      <w:r w:rsidRPr="002E53B5">
        <w:rPr>
          <w:rFonts w:ascii="Calibri" w:hAnsi="Calibri"/>
          <w:sz w:val="22"/>
        </w:rPr>
        <w:t>NCTO accounts and documents of PSP refund and correspondence.</w:t>
      </w:r>
    </w:p>
    <w:p w14:paraId="30727230" w14:textId="77777777" w:rsidR="008B2183" w:rsidRPr="002E53B5" w:rsidRDefault="008B2183" w:rsidP="00B16B2D">
      <w:pPr>
        <w:pStyle w:val="MediumGrid1-Accent21"/>
        <w:numPr>
          <w:ilvl w:val="0"/>
          <w:numId w:val="27"/>
        </w:numPr>
        <w:spacing w:after="60"/>
        <w:jc w:val="both"/>
        <w:rPr>
          <w:rFonts w:ascii="Calibri" w:hAnsi="Calibri"/>
          <w:sz w:val="22"/>
        </w:rPr>
      </w:pPr>
      <w:r w:rsidRPr="002E53B5">
        <w:rPr>
          <w:rFonts w:ascii="Calibri" w:hAnsi="Calibri"/>
          <w:sz w:val="22"/>
        </w:rPr>
        <w:t>Relev</w:t>
      </w:r>
      <w:r w:rsidR="005C4630" w:rsidRPr="002E53B5">
        <w:rPr>
          <w:rFonts w:ascii="Calibri" w:hAnsi="Calibri"/>
          <w:sz w:val="22"/>
        </w:rPr>
        <w:t>a</w:t>
      </w:r>
      <w:r w:rsidRPr="002E53B5">
        <w:rPr>
          <w:rFonts w:ascii="Calibri" w:hAnsi="Calibri"/>
          <w:sz w:val="22"/>
        </w:rPr>
        <w:t>nt NCTO MIS data</w:t>
      </w:r>
      <w:r w:rsidR="005C4630" w:rsidRPr="002E53B5">
        <w:rPr>
          <w:rFonts w:ascii="Calibri" w:hAnsi="Calibri"/>
          <w:sz w:val="22"/>
        </w:rPr>
        <w:t>,</w:t>
      </w:r>
      <w:r w:rsidRPr="002E53B5">
        <w:rPr>
          <w:rFonts w:ascii="Calibri" w:hAnsi="Calibri"/>
          <w:sz w:val="22"/>
        </w:rPr>
        <w:t xml:space="preserve"> as requested. </w:t>
      </w:r>
    </w:p>
    <w:p w14:paraId="31937713" w14:textId="77777777" w:rsidR="008B2183" w:rsidRPr="002E53B5" w:rsidRDefault="008B2183" w:rsidP="00B16B2D">
      <w:pPr>
        <w:pStyle w:val="MediumGrid1-Accent21"/>
        <w:numPr>
          <w:ilvl w:val="0"/>
          <w:numId w:val="27"/>
        </w:numPr>
        <w:spacing w:after="60"/>
        <w:jc w:val="both"/>
        <w:rPr>
          <w:rFonts w:ascii="Calibri" w:hAnsi="Calibri"/>
          <w:sz w:val="22"/>
        </w:rPr>
      </w:pPr>
      <w:r w:rsidRPr="002E53B5">
        <w:rPr>
          <w:rFonts w:ascii="Calibri" w:hAnsi="Calibri"/>
          <w:sz w:val="22"/>
        </w:rPr>
        <w:t xml:space="preserve">Any Internal analysis of data or issues as relevant. </w:t>
      </w:r>
    </w:p>
    <w:p w14:paraId="014BF35D" w14:textId="77777777" w:rsidR="00075A2E" w:rsidRPr="00DA0462" w:rsidRDefault="00075A2E" w:rsidP="00B16B2D">
      <w:pPr>
        <w:pStyle w:val="MediumGrid1-Accent21"/>
        <w:spacing w:after="60"/>
        <w:ind w:left="0"/>
        <w:jc w:val="both"/>
        <w:rPr>
          <w:rFonts w:ascii="Calibri" w:hAnsi="Calibri"/>
        </w:rPr>
      </w:pPr>
    </w:p>
    <w:p w14:paraId="59C3F9FF" w14:textId="77777777" w:rsidR="00637DA2" w:rsidRPr="00DA0462" w:rsidRDefault="00902454" w:rsidP="00B16B2D">
      <w:pPr>
        <w:pStyle w:val="MediumGrid1-Accent21"/>
        <w:numPr>
          <w:ilvl w:val="0"/>
          <w:numId w:val="25"/>
        </w:num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  <w:b/>
          <w:i/>
        </w:rPr>
        <w:t>Valida</w:t>
      </w:r>
      <w:r w:rsidR="00075A2E" w:rsidRPr="00DA0462">
        <w:rPr>
          <w:rFonts w:ascii="Calibri" w:hAnsi="Calibri"/>
          <w:b/>
          <w:i/>
        </w:rPr>
        <w:t>tion of</w:t>
      </w:r>
      <w:r w:rsidRPr="00DA0462">
        <w:rPr>
          <w:rFonts w:ascii="Calibri" w:hAnsi="Calibri"/>
          <w:b/>
          <w:i/>
        </w:rPr>
        <w:t xml:space="preserve"> </w:t>
      </w:r>
      <w:r w:rsidR="002155F8" w:rsidRPr="00DA0462">
        <w:rPr>
          <w:rFonts w:ascii="Calibri" w:hAnsi="Calibri"/>
          <w:b/>
          <w:i/>
        </w:rPr>
        <w:t xml:space="preserve">the list of </w:t>
      </w:r>
      <w:r w:rsidR="00BF1C12" w:rsidRPr="00DA0462">
        <w:rPr>
          <w:rFonts w:ascii="Calibri" w:hAnsi="Calibri"/>
          <w:b/>
          <w:i/>
        </w:rPr>
        <w:t>13,017 and tracking of payments to the beneficiaries:</w:t>
      </w:r>
      <w:r w:rsidR="00075A2E" w:rsidRPr="00DA0462">
        <w:rPr>
          <w:rFonts w:ascii="Calibri" w:hAnsi="Calibri"/>
          <w:b/>
        </w:rPr>
        <w:t xml:space="preserve"> </w:t>
      </w:r>
      <w:r w:rsidR="00AB6480" w:rsidRPr="00DA0462">
        <w:rPr>
          <w:rFonts w:ascii="Calibri" w:hAnsi="Calibri"/>
        </w:rPr>
        <w:t>T</w:t>
      </w:r>
      <w:r w:rsidRPr="00DA0462">
        <w:rPr>
          <w:rFonts w:ascii="Calibri" w:hAnsi="Calibri"/>
        </w:rPr>
        <w:t xml:space="preserve">he </w:t>
      </w:r>
      <w:r w:rsidR="00053A42" w:rsidRPr="00DA0462">
        <w:rPr>
          <w:rFonts w:ascii="Calibri" w:hAnsi="Calibri"/>
        </w:rPr>
        <w:t>audit exercise will</w:t>
      </w:r>
      <w:r w:rsidRPr="00DA0462">
        <w:rPr>
          <w:rFonts w:ascii="Calibri" w:hAnsi="Calibri"/>
        </w:rPr>
        <w:t xml:space="preserve"> </w:t>
      </w:r>
      <w:r w:rsidR="00637DA2" w:rsidRPr="00DA0462">
        <w:rPr>
          <w:rFonts w:ascii="Calibri" w:hAnsi="Calibri"/>
        </w:rPr>
        <w:t xml:space="preserve">also </w:t>
      </w:r>
      <w:r w:rsidRPr="00DA0462">
        <w:rPr>
          <w:rFonts w:ascii="Calibri" w:hAnsi="Calibri"/>
        </w:rPr>
        <w:t>verify that</w:t>
      </w:r>
      <w:r w:rsidR="00637DA2" w:rsidRPr="00DA0462">
        <w:rPr>
          <w:rFonts w:ascii="Calibri" w:hAnsi="Calibri"/>
        </w:rPr>
        <w:t>:</w:t>
      </w:r>
    </w:p>
    <w:p w14:paraId="4E5A82DB" w14:textId="77777777" w:rsidR="00637DA2" w:rsidRPr="002E53B5" w:rsidRDefault="00637DA2" w:rsidP="00B16B2D">
      <w:pPr>
        <w:pStyle w:val="MediumGrid1-Accent21"/>
        <w:numPr>
          <w:ilvl w:val="1"/>
          <w:numId w:val="25"/>
        </w:numPr>
        <w:spacing w:after="60"/>
        <w:jc w:val="both"/>
        <w:rPr>
          <w:rFonts w:ascii="Calibri" w:hAnsi="Calibri"/>
          <w:sz w:val="22"/>
        </w:rPr>
      </w:pPr>
      <w:r w:rsidRPr="002E53B5">
        <w:rPr>
          <w:rFonts w:ascii="Calibri" w:hAnsi="Calibri"/>
          <w:sz w:val="22"/>
        </w:rPr>
        <w:t>F</w:t>
      </w:r>
      <w:r w:rsidR="00902454" w:rsidRPr="002E53B5">
        <w:rPr>
          <w:rFonts w:ascii="Calibri" w:hAnsi="Calibri"/>
          <w:sz w:val="22"/>
        </w:rPr>
        <w:t>or each household</w:t>
      </w:r>
      <w:r w:rsidR="00225417" w:rsidRPr="002E53B5">
        <w:rPr>
          <w:rFonts w:ascii="Calibri" w:hAnsi="Calibri"/>
          <w:sz w:val="22"/>
        </w:rPr>
        <w:t xml:space="preserve"> on the list and</w:t>
      </w:r>
      <w:r w:rsidR="002155F8" w:rsidRPr="002E53B5">
        <w:rPr>
          <w:rFonts w:ascii="Calibri" w:hAnsi="Calibri"/>
          <w:sz w:val="22"/>
        </w:rPr>
        <w:t xml:space="preserve"> </w:t>
      </w:r>
      <w:r w:rsidRPr="002E53B5">
        <w:rPr>
          <w:rFonts w:ascii="Calibri" w:hAnsi="Calibri"/>
          <w:sz w:val="22"/>
        </w:rPr>
        <w:t xml:space="preserve">in the affected communities </w:t>
      </w:r>
      <w:r w:rsidR="00902454" w:rsidRPr="002E53B5">
        <w:rPr>
          <w:rFonts w:ascii="Calibri" w:hAnsi="Calibri"/>
          <w:sz w:val="22"/>
        </w:rPr>
        <w:t>a process of enumeration was carried out according to the targeting manual</w:t>
      </w:r>
      <w:r w:rsidRPr="002E53B5">
        <w:rPr>
          <w:rFonts w:ascii="Calibri" w:hAnsi="Calibri"/>
          <w:sz w:val="22"/>
        </w:rPr>
        <w:t>;</w:t>
      </w:r>
    </w:p>
    <w:p w14:paraId="015ADAFD" w14:textId="5EDD1D5E" w:rsidR="00637DA2" w:rsidRPr="002E53B5" w:rsidRDefault="00BF1C12" w:rsidP="00B16B2D">
      <w:pPr>
        <w:pStyle w:val="MediumGrid1-Accent21"/>
        <w:numPr>
          <w:ilvl w:val="1"/>
          <w:numId w:val="25"/>
        </w:numPr>
        <w:spacing w:after="60"/>
        <w:jc w:val="both"/>
        <w:rPr>
          <w:rFonts w:ascii="Calibri" w:hAnsi="Calibri"/>
          <w:sz w:val="22"/>
        </w:rPr>
      </w:pPr>
      <w:r w:rsidRPr="002E53B5">
        <w:rPr>
          <w:rFonts w:ascii="Calibri" w:hAnsi="Calibri"/>
          <w:sz w:val="22"/>
        </w:rPr>
        <w:t>For each of the households paid</w:t>
      </w:r>
      <w:r w:rsidR="00344C30">
        <w:rPr>
          <w:rFonts w:ascii="Calibri" w:hAnsi="Calibri"/>
          <w:sz w:val="22"/>
        </w:rPr>
        <w:t>, a</w:t>
      </w:r>
      <w:r w:rsidRPr="002E53B5">
        <w:rPr>
          <w:rFonts w:ascii="Calibri" w:hAnsi="Calibri"/>
          <w:sz w:val="22"/>
        </w:rPr>
        <w:t xml:space="preserve"> due registration process, clear identification with matching ID, photos were made.</w:t>
      </w:r>
    </w:p>
    <w:p w14:paraId="158FBDB5" w14:textId="74E9DFF2" w:rsidR="00AB6480" w:rsidRPr="002E53B5" w:rsidRDefault="008264AE" w:rsidP="00B16B2D">
      <w:pPr>
        <w:pStyle w:val="MediumGrid1-Accent21"/>
        <w:numPr>
          <w:ilvl w:val="1"/>
          <w:numId w:val="25"/>
        </w:numPr>
        <w:spacing w:after="60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 xml:space="preserve">All </w:t>
      </w:r>
      <w:r w:rsidR="00344C30">
        <w:rPr>
          <w:rFonts w:ascii="Calibri" w:hAnsi="Calibri"/>
          <w:sz w:val="22"/>
        </w:rPr>
        <w:t xml:space="preserve"> sampling</w:t>
      </w:r>
      <w:proofErr w:type="gramEnd"/>
      <w:r w:rsidR="00344C30">
        <w:rPr>
          <w:rFonts w:ascii="Calibri" w:hAnsi="Calibri"/>
          <w:sz w:val="22"/>
        </w:rPr>
        <w:t xml:space="preserve"> of e</w:t>
      </w:r>
      <w:r w:rsidR="00BF1C12" w:rsidRPr="002E53B5">
        <w:rPr>
          <w:rFonts w:ascii="Calibri" w:hAnsi="Calibri"/>
          <w:sz w:val="22"/>
        </w:rPr>
        <w:t xml:space="preserve">ach of the </w:t>
      </w:r>
      <w:r>
        <w:rPr>
          <w:rFonts w:ascii="Calibri" w:hAnsi="Calibri"/>
          <w:sz w:val="22"/>
        </w:rPr>
        <w:t xml:space="preserve">13,017 </w:t>
      </w:r>
      <w:r w:rsidR="00BF1C12" w:rsidRPr="002E53B5">
        <w:rPr>
          <w:rFonts w:ascii="Calibri" w:hAnsi="Calibri"/>
          <w:sz w:val="22"/>
        </w:rPr>
        <w:t>household</w:t>
      </w:r>
      <w:r w:rsidR="00344C30">
        <w:rPr>
          <w:rFonts w:ascii="Calibri" w:hAnsi="Calibri"/>
          <w:sz w:val="22"/>
        </w:rPr>
        <w:t>s</w:t>
      </w:r>
      <w:r w:rsidR="00BF1C12" w:rsidRPr="002E53B5">
        <w:rPr>
          <w:rFonts w:ascii="Calibri" w:hAnsi="Calibri"/>
          <w:sz w:val="22"/>
        </w:rPr>
        <w:t xml:space="preserve"> paid can and w</w:t>
      </w:r>
      <w:r w:rsidR="00344C30">
        <w:rPr>
          <w:rFonts w:ascii="Calibri" w:hAnsi="Calibri"/>
          <w:sz w:val="22"/>
        </w:rPr>
        <w:t>ould</w:t>
      </w:r>
      <w:r w:rsidR="00BF1C12" w:rsidRPr="002E53B5">
        <w:rPr>
          <w:rFonts w:ascii="Calibri" w:hAnsi="Calibri"/>
          <w:sz w:val="22"/>
        </w:rPr>
        <w:t xml:space="preserve"> be sighted by the auditors</w:t>
      </w:r>
    </w:p>
    <w:p w14:paraId="70CDE5E8" w14:textId="77777777" w:rsidR="00E05627" w:rsidRPr="00DA0462" w:rsidRDefault="00E05627" w:rsidP="00DA0462">
      <w:pPr>
        <w:pStyle w:val="MediumGrid1-Accent21"/>
        <w:spacing w:after="60"/>
        <w:jc w:val="both"/>
        <w:rPr>
          <w:rFonts w:ascii="Calibri" w:hAnsi="Calibri"/>
        </w:rPr>
      </w:pPr>
    </w:p>
    <w:p w14:paraId="25F9ECDE" w14:textId="77777777" w:rsidR="00BF1C12" w:rsidRPr="00DA0462" w:rsidRDefault="00902454" w:rsidP="00DA0462">
      <w:pPr>
        <w:pStyle w:val="MediumGrid1-Accent21"/>
        <w:numPr>
          <w:ilvl w:val="0"/>
          <w:numId w:val="25"/>
        </w:num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  <w:b/>
          <w:i/>
        </w:rPr>
        <w:t>Validat</w:t>
      </w:r>
      <w:r w:rsidR="00075A2E" w:rsidRPr="00DA0462">
        <w:rPr>
          <w:rFonts w:ascii="Calibri" w:hAnsi="Calibri"/>
          <w:b/>
          <w:i/>
        </w:rPr>
        <w:t xml:space="preserve">ion </w:t>
      </w:r>
      <w:r w:rsidR="00BF1C12" w:rsidRPr="00DA0462">
        <w:rPr>
          <w:rFonts w:ascii="Calibri" w:hAnsi="Calibri"/>
          <w:b/>
          <w:i/>
        </w:rPr>
        <w:t>and reconciliation of all payments made on the CCT.</w:t>
      </w:r>
    </w:p>
    <w:p w14:paraId="0000D698" w14:textId="0E284375" w:rsidR="00902454" w:rsidRPr="00344C30" w:rsidRDefault="00E05627" w:rsidP="00344C30">
      <w:pPr>
        <w:pStyle w:val="CommentText"/>
        <w:numPr>
          <w:ilvl w:val="0"/>
          <w:numId w:val="33"/>
        </w:numPr>
      </w:pPr>
      <w:r w:rsidRPr="002E53B5">
        <w:rPr>
          <w:rFonts w:ascii="Calibri" w:hAnsi="Calibri"/>
          <w:sz w:val="22"/>
        </w:rPr>
        <w:t xml:space="preserve">A validation exercise will be conducted by the firm to </w:t>
      </w:r>
      <w:r w:rsidR="00BF1C12" w:rsidRPr="002E53B5">
        <w:rPr>
          <w:rFonts w:ascii="Calibri" w:hAnsi="Calibri"/>
          <w:sz w:val="22"/>
        </w:rPr>
        <w:t xml:space="preserve">validate all payments made, </w:t>
      </w:r>
      <w:r w:rsidR="009C40C1" w:rsidRPr="002E53B5">
        <w:rPr>
          <w:rFonts w:ascii="Calibri" w:hAnsi="Calibri"/>
          <w:sz w:val="22"/>
        </w:rPr>
        <w:t xml:space="preserve">the numbers paid as against the amounts paid out, </w:t>
      </w:r>
      <w:r w:rsidR="00BF1C12" w:rsidRPr="002E53B5">
        <w:rPr>
          <w:rFonts w:ascii="Calibri" w:hAnsi="Calibri"/>
          <w:sz w:val="22"/>
        </w:rPr>
        <w:t xml:space="preserve">reconciliation between the PSPs and NCTO </w:t>
      </w:r>
      <w:r w:rsidR="009C40C1" w:rsidRPr="002E53B5">
        <w:rPr>
          <w:rFonts w:ascii="Calibri" w:hAnsi="Calibri"/>
          <w:sz w:val="22"/>
        </w:rPr>
        <w:t>to ensure that</w:t>
      </w:r>
      <w:r w:rsidR="00BF1C12" w:rsidRPr="002E53B5">
        <w:rPr>
          <w:rFonts w:ascii="Calibri" w:hAnsi="Calibri"/>
          <w:sz w:val="22"/>
        </w:rPr>
        <w:t xml:space="preserve"> any discrepancies are duly recorded and accounted</w:t>
      </w:r>
      <w:r w:rsidR="00344C30">
        <w:rPr>
          <w:rFonts w:ascii="Calibri" w:hAnsi="Calibri"/>
          <w:sz w:val="22"/>
        </w:rPr>
        <w:t xml:space="preserve"> for</w:t>
      </w:r>
      <w:r w:rsidR="005C4630" w:rsidRPr="002E53B5">
        <w:rPr>
          <w:rFonts w:ascii="Calibri" w:hAnsi="Calibri"/>
          <w:sz w:val="22"/>
        </w:rPr>
        <w:t xml:space="preserve">. </w:t>
      </w:r>
      <w:r w:rsidR="00344C30">
        <w:rPr>
          <w:rFonts w:ascii="Calibri" w:hAnsi="Calibri"/>
          <w:sz w:val="22"/>
        </w:rPr>
        <w:t xml:space="preserve">This would </w:t>
      </w:r>
      <w:r w:rsidR="00344C30">
        <w:rPr>
          <w:rFonts w:ascii="Calibri" w:hAnsi="Calibri"/>
          <w:sz w:val="22"/>
        </w:rPr>
        <w:lastRenderedPageBreak/>
        <w:t xml:space="preserve">also include, if any, </w:t>
      </w:r>
      <w:r w:rsidR="00344C30">
        <w:t>commissions due, paid / unpaid / proof of returned funds to government coffers by PSPs</w:t>
      </w:r>
    </w:p>
    <w:p w14:paraId="3B3545CF" w14:textId="34953FA7" w:rsidR="005C4630" w:rsidRPr="00DA0462" w:rsidRDefault="005C4630" w:rsidP="00DA0462">
      <w:pPr>
        <w:pStyle w:val="MediumGrid1-Accent21"/>
        <w:numPr>
          <w:ilvl w:val="0"/>
          <w:numId w:val="33"/>
        </w:numPr>
        <w:spacing w:after="60"/>
        <w:jc w:val="both"/>
        <w:rPr>
          <w:rFonts w:ascii="Calibri" w:hAnsi="Calibri"/>
        </w:rPr>
      </w:pPr>
      <w:r w:rsidRPr="002E53B5">
        <w:rPr>
          <w:rFonts w:ascii="Calibri" w:hAnsi="Calibri"/>
          <w:sz w:val="22"/>
        </w:rPr>
        <w:t xml:space="preserve">Review PSP TOR and contract and </w:t>
      </w:r>
      <w:r w:rsidR="00344C30">
        <w:rPr>
          <w:rFonts w:ascii="Calibri" w:hAnsi="Calibri"/>
          <w:sz w:val="22"/>
        </w:rPr>
        <w:t xml:space="preserve">advise on </w:t>
      </w:r>
      <w:r w:rsidRPr="002E53B5">
        <w:rPr>
          <w:rFonts w:ascii="Calibri" w:hAnsi="Calibri"/>
          <w:sz w:val="22"/>
        </w:rPr>
        <w:t xml:space="preserve">compliance with the terms of reference. </w:t>
      </w:r>
    </w:p>
    <w:p w14:paraId="05C3DFB6" w14:textId="77777777" w:rsidR="005C4630" w:rsidRPr="00DA0462" w:rsidRDefault="005C4630" w:rsidP="00DA0462">
      <w:pPr>
        <w:pStyle w:val="MediumGrid1-Accent21"/>
        <w:spacing w:after="60"/>
        <w:ind w:left="1080"/>
        <w:jc w:val="both"/>
        <w:rPr>
          <w:rFonts w:ascii="Calibri" w:hAnsi="Calibri"/>
        </w:rPr>
      </w:pPr>
    </w:p>
    <w:p w14:paraId="4669EB49" w14:textId="77777777" w:rsidR="005C4630" w:rsidRPr="00DA0462" w:rsidRDefault="005C4630" w:rsidP="00DA0462">
      <w:pPr>
        <w:pStyle w:val="MediumGrid1-Accent21"/>
        <w:numPr>
          <w:ilvl w:val="0"/>
          <w:numId w:val="25"/>
        </w:num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  <w:b/>
          <w:i/>
        </w:rPr>
        <w:t xml:space="preserve">Validation and reconciliation of all payments made to sampled beneficiaries. </w:t>
      </w:r>
    </w:p>
    <w:p w14:paraId="5B018BBB" w14:textId="48E357BF" w:rsidR="005C4630" w:rsidRPr="00DA0462" w:rsidRDefault="005C4630" w:rsidP="00344C30">
      <w:pPr>
        <w:numPr>
          <w:ilvl w:val="0"/>
          <w:numId w:val="33"/>
        </w:numPr>
        <w:spacing w:after="60"/>
        <w:contextualSpacing/>
        <w:jc w:val="both"/>
      </w:pPr>
      <w:r w:rsidRPr="002E53B5">
        <w:rPr>
          <w:rFonts w:ascii="Calibri" w:hAnsi="Calibri"/>
          <w:sz w:val="22"/>
        </w:rPr>
        <w:t xml:space="preserve">Match sampled </w:t>
      </w:r>
      <w:r w:rsidR="004C342E" w:rsidRPr="002E53B5">
        <w:rPr>
          <w:rFonts w:ascii="Calibri" w:hAnsi="Calibri"/>
          <w:sz w:val="22"/>
        </w:rPr>
        <w:t>beneficiary’s</w:t>
      </w:r>
      <w:r w:rsidRPr="002E53B5">
        <w:rPr>
          <w:rFonts w:ascii="Calibri" w:hAnsi="Calibri"/>
          <w:sz w:val="22"/>
        </w:rPr>
        <w:t xml:space="preserve"> eligible payment amount </w:t>
      </w:r>
      <w:r w:rsidR="004C342E" w:rsidRPr="002E53B5">
        <w:rPr>
          <w:rFonts w:ascii="Calibri" w:hAnsi="Calibri"/>
          <w:sz w:val="22"/>
        </w:rPr>
        <w:t>(base</w:t>
      </w:r>
      <w:r w:rsidRPr="002E53B5">
        <w:rPr>
          <w:rFonts w:ascii="Calibri" w:hAnsi="Calibri"/>
          <w:sz w:val="22"/>
        </w:rPr>
        <w:t xml:space="preserve">, top-up, and arrears) to the actual amount collected. </w:t>
      </w:r>
    </w:p>
    <w:p w14:paraId="655A588D" w14:textId="77777777" w:rsidR="002E26A8" w:rsidRPr="00DA0462" w:rsidRDefault="002E26A8" w:rsidP="002E26A8">
      <w:pPr>
        <w:rPr>
          <w:rFonts w:ascii="Calibri" w:hAnsi="Calibri"/>
        </w:rPr>
      </w:pPr>
    </w:p>
    <w:p w14:paraId="56040E56" w14:textId="77777777" w:rsidR="00902454" w:rsidRPr="00DA0462" w:rsidRDefault="00153D9A" w:rsidP="00765B65">
      <w:pPr>
        <w:pStyle w:val="Heading1"/>
        <w:numPr>
          <w:ilvl w:val="0"/>
          <w:numId w:val="21"/>
        </w:numPr>
        <w:spacing w:before="0"/>
        <w:rPr>
          <w:rFonts w:ascii="Calibri" w:hAnsi="Calibri"/>
          <w:kern w:val="0"/>
          <w:sz w:val="24"/>
        </w:rPr>
      </w:pPr>
      <w:r w:rsidRPr="00DA0462">
        <w:rPr>
          <w:rFonts w:ascii="Calibri" w:hAnsi="Calibri"/>
          <w:kern w:val="0"/>
          <w:sz w:val="24"/>
        </w:rPr>
        <w:t xml:space="preserve">Required </w:t>
      </w:r>
      <w:r w:rsidR="00902454" w:rsidRPr="00DA0462">
        <w:rPr>
          <w:rFonts w:ascii="Calibri" w:hAnsi="Calibri"/>
          <w:kern w:val="0"/>
          <w:sz w:val="24"/>
        </w:rPr>
        <w:t>Qualifications of the Firm</w:t>
      </w:r>
    </w:p>
    <w:p w14:paraId="74A6CF68" w14:textId="48249C13" w:rsidR="00902454" w:rsidRPr="00DA0462" w:rsidRDefault="00902454" w:rsidP="00D02CD5">
      <w:p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</w:rPr>
        <w:t>The firm will assign qualified</w:t>
      </w:r>
      <w:r w:rsidR="00153D9A" w:rsidRPr="00DA0462">
        <w:rPr>
          <w:rFonts w:ascii="Calibri" w:hAnsi="Calibri"/>
        </w:rPr>
        <w:t xml:space="preserve"> senior level</w:t>
      </w:r>
      <w:r w:rsidR="008264AE">
        <w:rPr>
          <w:rFonts w:ascii="Calibri" w:hAnsi="Calibri"/>
        </w:rPr>
        <w:t xml:space="preserve"> staff with vast experi</w:t>
      </w:r>
      <w:r w:rsidR="00C875DA">
        <w:rPr>
          <w:rFonts w:ascii="Calibri" w:hAnsi="Calibri"/>
        </w:rPr>
        <w:t>e</w:t>
      </w:r>
      <w:r w:rsidR="008264AE">
        <w:rPr>
          <w:rFonts w:ascii="Calibri" w:hAnsi="Calibri"/>
        </w:rPr>
        <w:t>nce in forensic audit as team lead</w:t>
      </w:r>
      <w:r w:rsidR="00153D9A" w:rsidRPr="00DA0462">
        <w:rPr>
          <w:rFonts w:ascii="Calibri" w:hAnsi="Calibri"/>
        </w:rPr>
        <w:t xml:space="preserve">, with relevant expertise </w:t>
      </w:r>
      <w:r w:rsidRPr="00DA0462">
        <w:rPr>
          <w:rFonts w:ascii="Calibri" w:hAnsi="Calibri"/>
        </w:rPr>
        <w:t>to deliver the reports according to the established schedule. I</w:t>
      </w:r>
      <w:r w:rsidR="0083740A" w:rsidRPr="00DA0462">
        <w:rPr>
          <w:rFonts w:ascii="Calibri" w:hAnsi="Calibri"/>
        </w:rPr>
        <w:t xml:space="preserve">n particular, </w:t>
      </w:r>
      <w:r w:rsidRPr="00DA0462">
        <w:rPr>
          <w:rFonts w:ascii="Calibri" w:hAnsi="Calibri"/>
        </w:rPr>
        <w:t xml:space="preserve">the firm should demonstrate </w:t>
      </w:r>
      <w:r w:rsidR="00153D9A" w:rsidRPr="00DA0462">
        <w:rPr>
          <w:rFonts w:ascii="Calibri" w:hAnsi="Calibri"/>
        </w:rPr>
        <w:t xml:space="preserve">a minimum of 8 years of </w:t>
      </w:r>
      <w:r w:rsidR="005C4630" w:rsidRPr="00DA0462">
        <w:rPr>
          <w:rFonts w:ascii="Calibri" w:hAnsi="Calibri"/>
        </w:rPr>
        <w:t xml:space="preserve">extensive </w:t>
      </w:r>
      <w:r w:rsidRPr="00DA0462">
        <w:rPr>
          <w:rFonts w:ascii="Calibri" w:hAnsi="Calibri"/>
        </w:rPr>
        <w:t xml:space="preserve">experience in </w:t>
      </w:r>
      <w:r w:rsidR="000D5FAF" w:rsidRPr="00DA0462">
        <w:rPr>
          <w:rFonts w:ascii="Calibri" w:hAnsi="Calibri"/>
        </w:rPr>
        <w:t xml:space="preserve">auditing </w:t>
      </w:r>
      <w:r w:rsidR="008264AE">
        <w:rPr>
          <w:rFonts w:ascii="Calibri" w:hAnsi="Calibri"/>
        </w:rPr>
        <w:t xml:space="preserve">and forensic auditing </w:t>
      </w:r>
      <w:r w:rsidR="000D5FAF" w:rsidRPr="00DA0462">
        <w:rPr>
          <w:rFonts w:ascii="Calibri" w:hAnsi="Calibri"/>
        </w:rPr>
        <w:t>in similar tasks</w:t>
      </w:r>
      <w:r w:rsidRPr="00DA0462">
        <w:rPr>
          <w:rFonts w:ascii="Calibri" w:hAnsi="Calibri"/>
        </w:rPr>
        <w:t xml:space="preserve"> and provide </w:t>
      </w:r>
      <w:r w:rsidR="005C4630" w:rsidRPr="00DA0462">
        <w:rPr>
          <w:rFonts w:ascii="Calibri" w:hAnsi="Calibri"/>
        </w:rPr>
        <w:t xml:space="preserve">a </w:t>
      </w:r>
      <w:r w:rsidRPr="00DA0462">
        <w:rPr>
          <w:rFonts w:ascii="Calibri" w:hAnsi="Calibri"/>
        </w:rPr>
        <w:t xml:space="preserve">reference for similar work done in the public </w:t>
      </w:r>
      <w:r w:rsidR="008264AE">
        <w:rPr>
          <w:rFonts w:ascii="Calibri" w:hAnsi="Calibri"/>
        </w:rPr>
        <w:t xml:space="preserve">or private </w:t>
      </w:r>
      <w:r w:rsidRPr="00DA0462">
        <w:rPr>
          <w:rFonts w:ascii="Calibri" w:hAnsi="Calibri"/>
        </w:rPr>
        <w:t>sector.</w:t>
      </w:r>
      <w:r w:rsidR="00075A2E" w:rsidRPr="00DA0462">
        <w:rPr>
          <w:rFonts w:ascii="Calibri" w:hAnsi="Calibri"/>
        </w:rPr>
        <w:t xml:space="preserve"> </w:t>
      </w:r>
      <w:r w:rsidRPr="00DA0462">
        <w:rPr>
          <w:rFonts w:ascii="Calibri" w:hAnsi="Calibri"/>
        </w:rPr>
        <w:t>Required expertise includes undertaking operational reviews</w:t>
      </w:r>
      <w:r w:rsidR="008264AE">
        <w:rPr>
          <w:rFonts w:ascii="Calibri" w:hAnsi="Calibri"/>
        </w:rPr>
        <w:t>, forensic audit</w:t>
      </w:r>
      <w:r w:rsidRPr="00DA0462">
        <w:rPr>
          <w:rFonts w:ascii="Calibri" w:hAnsi="Calibri"/>
        </w:rPr>
        <w:t xml:space="preserve"> and cost accounting.</w:t>
      </w:r>
    </w:p>
    <w:p w14:paraId="3E6FC4A3" w14:textId="77777777" w:rsidR="00CC6507" w:rsidRPr="00DA0462" w:rsidRDefault="00CC6507" w:rsidP="00D02CD5">
      <w:pPr>
        <w:spacing w:after="60"/>
        <w:jc w:val="both"/>
        <w:rPr>
          <w:rFonts w:ascii="Calibri" w:hAnsi="Calibri"/>
        </w:rPr>
      </w:pPr>
      <w:r w:rsidRPr="00DA0462">
        <w:rPr>
          <w:rFonts w:ascii="Calibri" w:hAnsi="Calibri"/>
        </w:rPr>
        <w:t>This service is expected to be undertaken by a Consulting Firm with the following requirements:</w:t>
      </w:r>
    </w:p>
    <w:p w14:paraId="60D784CB" w14:textId="73659DB4" w:rsidR="00225417" w:rsidRPr="002E53B5" w:rsidRDefault="00CC6507" w:rsidP="00D02CD5">
      <w:pPr>
        <w:numPr>
          <w:ilvl w:val="0"/>
          <w:numId w:val="19"/>
        </w:numPr>
        <w:spacing w:after="60" w:line="276" w:lineRule="auto"/>
        <w:contextualSpacing/>
        <w:jc w:val="both"/>
        <w:rPr>
          <w:rFonts w:ascii="Calibri" w:hAnsi="Calibri"/>
          <w:sz w:val="22"/>
        </w:rPr>
      </w:pPr>
      <w:r w:rsidRPr="002E53B5">
        <w:rPr>
          <w:rFonts w:ascii="Calibri" w:hAnsi="Calibri"/>
          <w:sz w:val="22"/>
        </w:rPr>
        <w:t>Must be</w:t>
      </w:r>
      <w:r w:rsidR="00225417" w:rsidRPr="002E53B5">
        <w:rPr>
          <w:rFonts w:ascii="Calibri" w:hAnsi="Calibri"/>
          <w:sz w:val="22"/>
        </w:rPr>
        <w:t xml:space="preserve"> a</w:t>
      </w:r>
      <w:r w:rsidRPr="002E53B5">
        <w:rPr>
          <w:rFonts w:ascii="Calibri" w:hAnsi="Calibri"/>
          <w:sz w:val="22"/>
        </w:rPr>
        <w:t xml:space="preserve"> </w:t>
      </w:r>
      <w:proofErr w:type="gramStart"/>
      <w:r w:rsidRPr="002E53B5">
        <w:rPr>
          <w:rFonts w:ascii="Calibri" w:hAnsi="Calibri"/>
          <w:sz w:val="22"/>
        </w:rPr>
        <w:t xml:space="preserve">registered </w:t>
      </w:r>
      <w:r w:rsidR="00225417" w:rsidRPr="002E53B5">
        <w:rPr>
          <w:rFonts w:ascii="Calibri" w:hAnsi="Calibri"/>
          <w:sz w:val="22"/>
        </w:rPr>
        <w:t xml:space="preserve"> firm</w:t>
      </w:r>
      <w:proofErr w:type="gramEnd"/>
      <w:r w:rsidR="00225417" w:rsidRPr="002E53B5">
        <w:rPr>
          <w:rFonts w:ascii="Calibri" w:hAnsi="Calibri"/>
          <w:sz w:val="22"/>
        </w:rPr>
        <w:t xml:space="preserve"> (National </w:t>
      </w:r>
      <w:r w:rsidR="002E26A8" w:rsidRPr="002E53B5">
        <w:rPr>
          <w:rFonts w:ascii="Calibri" w:hAnsi="Calibri"/>
          <w:sz w:val="22"/>
        </w:rPr>
        <w:t>or International</w:t>
      </w:r>
      <w:r w:rsidR="00225417" w:rsidRPr="002E53B5">
        <w:rPr>
          <w:rFonts w:ascii="Calibri" w:hAnsi="Calibri"/>
          <w:sz w:val="22"/>
        </w:rPr>
        <w:t>) with experience working in Nigeria.</w:t>
      </w:r>
    </w:p>
    <w:p w14:paraId="470E48F2" w14:textId="77777777" w:rsidR="00CC6507" w:rsidRPr="002E53B5" w:rsidRDefault="00225417" w:rsidP="00D02CD5">
      <w:pPr>
        <w:numPr>
          <w:ilvl w:val="0"/>
          <w:numId w:val="19"/>
        </w:numPr>
        <w:spacing w:after="60" w:line="276" w:lineRule="auto"/>
        <w:contextualSpacing/>
        <w:jc w:val="both"/>
        <w:rPr>
          <w:rFonts w:ascii="Calibri" w:hAnsi="Calibri"/>
          <w:sz w:val="22"/>
        </w:rPr>
      </w:pPr>
      <w:r w:rsidRPr="002E53B5">
        <w:rPr>
          <w:rFonts w:ascii="Calibri" w:hAnsi="Calibri"/>
          <w:sz w:val="22"/>
        </w:rPr>
        <w:t xml:space="preserve"> Must demonstrate the capacity or experience in conducting consultancy services of similar nature within the </w:t>
      </w:r>
      <w:r w:rsidR="00CC6507" w:rsidRPr="002E53B5">
        <w:rPr>
          <w:rFonts w:ascii="Calibri" w:hAnsi="Calibri"/>
          <w:sz w:val="22"/>
        </w:rPr>
        <w:t xml:space="preserve">socioeconomic and community development </w:t>
      </w:r>
      <w:r w:rsidRPr="002E53B5">
        <w:rPr>
          <w:rFonts w:ascii="Calibri" w:hAnsi="Calibri"/>
          <w:sz w:val="22"/>
        </w:rPr>
        <w:t>sector;</w:t>
      </w:r>
    </w:p>
    <w:p w14:paraId="0A1146A8" w14:textId="77777777" w:rsidR="00CC6507" w:rsidRPr="002E53B5" w:rsidRDefault="00CC6507" w:rsidP="00D02CD5">
      <w:pPr>
        <w:numPr>
          <w:ilvl w:val="0"/>
          <w:numId w:val="19"/>
        </w:numPr>
        <w:spacing w:after="60" w:line="276" w:lineRule="auto"/>
        <w:contextualSpacing/>
        <w:jc w:val="both"/>
        <w:rPr>
          <w:rFonts w:ascii="Calibri" w:hAnsi="Calibri"/>
          <w:sz w:val="22"/>
        </w:rPr>
      </w:pPr>
      <w:r w:rsidRPr="002E53B5">
        <w:rPr>
          <w:rFonts w:ascii="Calibri" w:hAnsi="Calibri"/>
          <w:sz w:val="22"/>
        </w:rPr>
        <w:t xml:space="preserve">Must show </w:t>
      </w:r>
      <w:r w:rsidR="005C4630" w:rsidRPr="002E53B5">
        <w:rPr>
          <w:rFonts w:ascii="Calibri" w:hAnsi="Calibri"/>
          <w:sz w:val="22"/>
        </w:rPr>
        <w:t xml:space="preserve">the </w:t>
      </w:r>
      <w:r w:rsidRPr="002E53B5">
        <w:rPr>
          <w:rFonts w:ascii="Calibri" w:hAnsi="Calibri"/>
          <w:sz w:val="22"/>
        </w:rPr>
        <w:t>capability to deplore requisite number of highly skilled relevant experts simultaneously;</w:t>
      </w:r>
    </w:p>
    <w:p w14:paraId="53D04D3B" w14:textId="77777777" w:rsidR="00CC6507" w:rsidRPr="002E53B5" w:rsidRDefault="00CC6507" w:rsidP="00D02CD5">
      <w:pPr>
        <w:numPr>
          <w:ilvl w:val="0"/>
          <w:numId w:val="19"/>
        </w:numPr>
        <w:spacing w:after="60" w:line="276" w:lineRule="auto"/>
        <w:contextualSpacing/>
        <w:jc w:val="both"/>
        <w:rPr>
          <w:rFonts w:ascii="Calibri" w:hAnsi="Calibri"/>
          <w:sz w:val="22"/>
        </w:rPr>
      </w:pPr>
      <w:r w:rsidRPr="002E53B5">
        <w:rPr>
          <w:rFonts w:ascii="Calibri" w:hAnsi="Calibri"/>
          <w:sz w:val="22"/>
        </w:rPr>
        <w:t>Proven record of financial and institutional soundness of the firm.</w:t>
      </w:r>
    </w:p>
    <w:p w14:paraId="792FC518" w14:textId="77777777" w:rsidR="005C4630" w:rsidRPr="002E53B5" w:rsidRDefault="005C4630" w:rsidP="00D02CD5">
      <w:pPr>
        <w:numPr>
          <w:ilvl w:val="0"/>
          <w:numId w:val="19"/>
        </w:numPr>
        <w:spacing w:after="60" w:line="276" w:lineRule="auto"/>
        <w:contextualSpacing/>
        <w:jc w:val="both"/>
        <w:rPr>
          <w:rFonts w:ascii="Calibri" w:hAnsi="Calibri"/>
          <w:sz w:val="22"/>
        </w:rPr>
      </w:pPr>
      <w:r w:rsidRPr="002E53B5">
        <w:rPr>
          <w:rFonts w:ascii="Calibri" w:hAnsi="Calibri"/>
          <w:sz w:val="22"/>
        </w:rPr>
        <w:t xml:space="preserve">Provide 2 reference letters of recommendation of the firm's quality of delivery. </w:t>
      </w:r>
    </w:p>
    <w:p w14:paraId="38A922CE" w14:textId="77777777" w:rsidR="00CC6507" w:rsidRPr="002E53B5" w:rsidRDefault="00CC6507" w:rsidP="00D02CD5">
      <w:pPr>
        <w:numPr>
          <w:ilvl w:val="0"/>
          <w:numId w:val="19"/>
        </w:numPr>
        <w:spacing w:after="60" w:line="276" w:lineRule="auto"/>
        <w:contextualSpacing/>
        <w:jc w:val="both"/>
        <w:rPr>
          <w:rFonts w:ascii="Calibri" w:hAnsi="Calibri"/>
          <w:sz w:val="22"/>
        </w:rPr>
      </w:pPr>
      <w:r w:rsidRPr="002E53B5">
        <w:rPr>
          <w:rFonts w:ascii="Calibri" w:hAnsi="Calibri"/>
          <w:sz w:val="22"/>
        </w:rPr>
        <w:t xml:space="preserve">Must have a Team Leader to coordinate the team and be responsible for the overall success of the consultancy service. </w:t>
      </w:r>
    </w:p>
    <w:p w14:paraId="4BA900B1" w14:textId="77777777" w:rsidR="00CC6507" w:rsidRPr="002E53B5" w:rsidRDefault="00CC6507" w:rsidP="00873A9A">
      <w:pPr>
        <w:numPr>
          <w:ilvl w:val="0"/>
          <w:numId w:val="19"/>
        </w:numPr>
        <w:spacing w:after="60" w:line="276" w:lineRule="auto"/>
        <w:contextualSpacing/>
        <w:jc w:val="both"/>
        <w:rPr>
          <w:rFonts w:ascii="Calibri" w:hAnsi="Calibri"/>
          <w:sz w:val="22"/>
        </w:rPr>
      </w:pPr>
      <w:r w:rsidRPr="002E53B5">
        <w:rPr>
          <w:rFonts w:ascii="Calibri" w:hAnsi="Calibri"/>
          <w:sz w:val="22"/>
        </w:rPr>
        <w:t>List of key professional positions whose CV and experience would be evaluated are as follows: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337"/>
        <w:gridCol w:w="3180"/>
        <w:gridCol w:w="3663"/>
      </w:tblGrid>
      <w:tr w:rsidR="00CC6507" w:rsidRPr="005C4630" w14:paraId="5150919E" w14:textId="77777777" w:rsidTr="002E53B5">
        <w:tc>
          <w:tcPr>
            <w:tcW w:w="715" w:type="dxa"/>
            <w:shd w:val="clear" w:color="auto" w:fill="auto"/>
          </w:tcPr>
          <w:p w14:paraId="2D8C678F" w14:textId="77777777" w:rsidR="00CC6507" w:rsidRPr="00DA0462" w:rsidRDefault="00CC6507" w:rsidP="00D02CD5">
            <w:pPr>
              <w:spacing w:after="60"/>
              <w:rPr>
                <w:rFonts w:ascii="Calibri" w:hAnsi="Calibri"/>
              </w:rPr>
            </w:pPr>
            <w:r w:rsidRPr="00DA0462">
              <w:rPr>
                <w:rFonts w:ascii="Calibri" w:hAnsi="Calibri"/>
              </w:rPr>
              <w:t>S/No</w:t>
            </w:r>
          </w:p>
        </w:tc>
        <w:tc>
          <w:tcPr>
            <w:tcW w:w="2337" w:type="dxa"/>
            <w:shd w:val="clear" w:color="auto" w:fill="auto"/>
          </w:tcPr>
          <w:p w14:paraId="7E6DA9F1" w14:textId="77777777" w:rsidR="00CC6507" w:rsidRPr="00DA0462" w:rsidRDefault="00CC6507" w:rsidP="00D02CD5">
            <w:pPr>
              <w:spacing w:after="60"/>
              <w:ind w:left="80" w:right="175"/>
              <w:rPr>
                <w:rFonts w:ascii="Calibri" w:hAnsi="Calibri"/>
              </w:rPr>
            </w:pPr>
            <w:r w:rsidRPr="00DA0462">
              <w:rPr>
                <w:rFonts w:ascii="Calibri" w:hAnsi="Calibri"/>
              </w:rPr>
              <w:t>Key Professionals</w:t>
            </w:r>
          </w:p>
        </w:tc>
        <w:tc>
          <w:tcPr>
            <w:tcW w:w="3180" w:type="dxa"/>
            <w:shd w:val="clear" w:color="auto" w:fill="auto"/>
          </w:tcPr>
          <w:p w14:paraId="501D9050" w14:textId="77777777" w:rsidR="00CC6507" w:rsidRPr="00DA0462" w:rsidRDefault="00CC6507" w:rsidP="00D02CD5">
            <w:pPr>
              <w:spacing w:after="60"/>
              <w:ind w:left="80"/>
              <w:rPr>
                <w:rFonts w:ascii="Calibri" w:hAnsi="Calibri"/>
              </w:rPr>
            </w:pPr>
            <w:r w:rsidRPr="00DA0462">
              <w:rPr>
                <w:rFonts w:ascii="Calibri" w:hAnsi="Calibri"/>
              </w:rPr>
              <w:t>Specific Expertise Desired</w:t>
            </w:r>
          </w:p>
        </w:tc>
        <w:tc>
          <w:tcPr>
            <w:tcW w:w="3663" w:type="dxa"/>
            <w:shd w:val="clear" w:color="auto" w:fill="auto"/>
          </w:tcPr>
          <w:p w14:paraId="19364061" w14:textId="77777777" w:rsidR="00CC6507" w:rsidRPr="00DA0462" w:rsidRDefault="00CC6507" w:rsidP="00D02CD5">
            <w:pPr>
              <w:spacing w:after="60"/>
              <w:ind w:left="75" w:right="175"/>
              <w:rPr>
                <w:rFonts w:ascii="Calibri" w:hAnsi="Calibri"/>
              </w:rPr>
            </w:pPr>
            <w:r w:rsidRPr="00DA0462">
              <w:rPr>
                <w:rFonts w:ascii="Calibri" w:hAnsi="Calibri"/>
              </w:rPr>
              <w:t>Minimum Qualification and Professional Experience Desired</w:t>
            </w:r>
          </w:p>
        </w:tc>
      </w:tr>
      <w:tr w:rsidR="00CC6507" w:rsidRPr="005C4630" w14:paraId="44B45136" w14:textId="77777777" w:rsidTr="002E53B5">
        <w:tc>
          <w:tcPr>
            <w:tcW w:w="715" w:type="dxa"/>
            <w:shd w:val="clear" w:color="auto" w:fill="auto"/>
          </w:tcPr>
          <w:p w14:paraId="1AEF4613" w14:textId="77777777" w:rsidR="00CC6507" w:rsidRPr="00DA0462" w:rsidRDefault="00CC6507" w:rsidP="00D02CD5">
            <w:pPr>
              <w:spacing w:after="60"/>
              <w:ind w:hanging="15"/>
              <w:rPr>
                <w:rFonts w:ascii="Calibri" w:hAnsi="Calibri"/>
              </w:rPr>
            </w:pPr>
            <w:r w:rsidRPr="00DA0462">
              <w:rPr>
                <w:rFonts w:ascii="Calibri" w:hAnsi="Calibri"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14:paraId="685FFB0D" w14:textId="77777777" w:rsidR="00CC6507" w:rsidRPr="00DA0462" w:rsidRDefault="00CC6507" w:rsidP="00D02CD5">
            <w:pPr>
              <w:spacing w:after="60"/>
              <w:ind w:left="80"/>
              <w:rPr>
                <w:rFonts w:ascii="Calibri" w:hAnsi="Calibri"/>
              </w:rPr>
            </w:pPr>
            <w:r w:rsidRPr="00DA0462">
              <w:rPr>
                <w:rFonts w:ascii="Calibri" w:hAnsi="Calibri"/>
              </w:rPr>
              <w:t>Team leader</w:t>
            </w:r>
          </w:p>
        </w:tc>
        <w:tc>
          <w:tcPr>
            <w:tcW w:w="3180" w:type="dxa"/>
            <w:shd w:val="clear" w:color="auto" w:fill="auto"/>
          </w:tcPr>
          <w:p w14:paraId="452F0BBF" w14:textId="0F9FF16F" w:rsidR="00CC6507" w:rsidRPr="00DA0462" w:rsidRDefault="0086299C" w:rsidP="00D02CD5">
            <w:pPr>
              <w:spacing w:after="60"/>
              <w:ind w:left="80" w:right="170"/>
              <w:rPr>
                <w:rFonts w:ascii="Calibri" w:hAnsi="Calibri"/>
              </w:rPr>
            </w:pPr>
            <w:r w:rsidRPr="00DA0462">
              <w:rPr>
                <w:rFonts w:ascii="Calibri" w:hAnsi="Calibri"/>
              </w:rPr>
              <w:t xml:space="preserve">Sound </w:t>
            </w:r>
            <w:r w:rsidR="008264AE">
              <w:rPr>
                <w:rFonts w:ascii="Calibri" w:hAnsi="Calibri"/>
              </w:rPr>
              <w:t xml:space="preserve">forensic </w:t>
            </w:r>
            <w:r w:rsidR="00225417" w:rsidRPr="00DA0462">
              <w:rPr>
                <w:rFonts w:ascii="Calibri" w:hAnsi="Calibri"/>
              </w:rPr>
              <w:t xml:space="preserve">audit experience </w:t>
            </w:r>
            <w:r w:rsidR="004C342E" w:rsidRPr="00DA0462">
              <w:rPr>
                <w:rFonts w:ascii="Calibri" w:hAnsi="Calibri"/>
              </w:rPr>
              <w:t>and with</w:t>
            </w:r>
            <w:r w:rsidR="00225417" w:rsidRPr="00DA0462">
              <w:rPr>
                <w:rFonts w:ascii="Calibri" w:hAnsi="Calibri"/>
              </w:rPr>
              <w:t xml:space="preserve"> relevant membership of international audit certification</w:t>
            </w:r>
            <w:r w:rsidRPr="00DA0462">
              <w:rPr>
                <w:rFonts w:ascii="Calibri" w:hAnsi="Calibri"/>
              </w:rPr>
              <w:t xml:space="preserve"> </w:t>
            </w:r>
          </w:p>
        </w:tc>
        <w:tc>
          <w:tcPr>
            <w:tcW w:w="3663" w:type="dxa"/>
            <w:shd w:val="clear" w:color="auto" w:fill="auto"/>
          </w:tcPr>
          <w:p w14:paraId="38E2790D" w14:textId="4A56A914" w:rsidR="00F73185" w:rsidRPr="00DA0462" w:rsidRDefault="00CC6507" w:rsidP="00D02CD5">
            <w:pPr>
              <w:spacing w:after="60"/>
              <w:ind w:left="75" w:right="175"/>
              <w:rPr>
                <w:rFonts w:ascii="Calibri" w:hAnsi="Calibri"/>
              </w:rPr>
            </w:pPr>
            <w:r w:rsidRPr="00DA0462">
              <w:rPr>
                <w:rFonts w:ascii="Calibri" w:hAnsi="Calibri"/>
              </w:rPr>
              <w:t xml:space="preserve">At least </w:t>
            </w:r>
            <w:r w:rsidR="005C4630" w:rsidRPr="00DA0462">
              <w:rPr>
                <w:rFonts w:ascii="Calibri" w:hAnsi="Calibri"/>
              </w:rPr>
              <w:t xml:space="preserve">a </w:t>
            </w:r>
            <w:r w:rsidRPr="00DA0462">
              <w:rPr>
                <w:rFonts w:ascii="Calibri" w:hAnsi="Calibri"/>
              </w:rPr>
              <w:t>Masters’ degree in</w:t>
            </w:r>
            <w:r w:rsidR="00F73185" w:rsidRPr="00DA0462">
              <w:rPr>
                <w:rFonts w:ascii="Calibri" w:hAnsi="Calibri"/>
              </w:rPr>
              <w:t xml:space="preserve"> Accounting, finance</w:t>
            </w:r>
            <w:r w:rsidR="005C4630" w:rsidRPr="00DA0462">
              <w:rPr>
                <w:rFonts w:ascii="Calibri" w:hAnsi="Calibri"/>
              </w:rPr>
              <w:t>,</w:t>
            </w:r>
            <w:r w:rsidR="00F73185" w:rsidRPr="00DA0462">
              <w:rPr>
                <w:rFonts w:ascii="Calibri" w:hAnsi="Calibri"/>
              </w:rPr>
              <w:t xml:space="preserve"> or related </w:t>
            </w:r>
            <w:r w:rsidR="005C4630" w:rsidRPr="00DA0462">
              <w:rPr>
                <w:rFonts w:ascii="Calibri" w:hAnsi="Calibri"/>
              </w:rPr>
              <w:t>field</w:t>
            </w:r>
            <w:r w:rsidR="00F73185" w:rsidRPr="00DA0462">
              <w:rPr>
                <w:rFonts w:ascii="Calibri" w:hAnsi="Calibri"/>
              </w:rPr>
              <w:t>.</w:t>
            </w:r>
          </w:p>
          <w:p w14:paraId="634AB951" w14:textId="77777777" w:rsidR="00CC6507" w:rsidRPr="00DA0462" w:rsidRDefault="00F73185" w:rsidP="00D02CD5">
            <w:pPr>
              <w:spacing w:after="60"/>
              <w:ind w:left="75" w:right="175"/>
              <w:rPr>
                <w:rFonts w:ascii="Calibri" w:hAnsi="Calibri"/>
              </w:rPr>
            </w:pPr>
            <w:r w:rsidRPr="00DA0462">
              <w:rPr>
                <w:rFonts w:ascii="Calibri" w:hAnsi="Calibri"/>
              </w:rPr>
              <w:t>Professional certification by ICAN, ACCA etc.</w:t>
            </w:r>
          </w:p>
        </w:tc>
      </w:tr>
      <w:tr w:rsidR="00CC6507" w:rsidRPr="005C4630" w14:paraId="281130AE" w14:textId="77777777" w:rsidTr="002E53B5">
        <w:tc>
          <w:tcPr>
            <w:tcW w:w="715" w:type="dxa"/>
            <w:shd w:val="clear" w:color="auto" w:fill="auto"/>
          </w:tcPr>
          <w:p w14:paraId="549C56F6" w14:textId="77777777" w:rsidR="00CC6507" w:rsidRPr="00B16B2D" w:rsidRDefault="00CC6507" w:rsidP="00D02CD5">
            <w:pPr>
              <w:spacing w:after="60"/>
              <w:rPr>
                <w:rFonts w:ascii="Calibri" w:hAnsi="Calibri"/>
              </w:rPr>
            </w:pPr>
            <w:r w:rsidRPr="00B16B2D">
              <w:rPr>
                <w:rFonts w:ascii="Calibri" w:hAnsi="Calibri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14:paraId="0CC10D1D" w14:textId="51236CF5" w:rsidR="00CC6507" w:rsidRPr="00B16B2D" w:rsidRDefault="008264AE" w:rsidP="008264AE">
            <w:pPr>
              <w:spacing w:after="60"/>
              <w:ind w:right="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F73185" w:rsidRPr="00B16B2D">
              <w:rPr>
                <w:rFonts w:ascii="Calibri" w:hAnsi="Calibri"/>
              </w:rPr>
              <w:t>eam (list individuals with their expertise and qualifications)</w:t>
            </w:r>
          </w:p>
          <w:p w14:paraId="6520BAAB" w14:textId="77777777" w:rsidR="002965A5" w:rsidRPr="00B16B2D" w:rsidRDefault="002965A5" w:rsidP="00774F5F">
            <w:pPr>
              <w:spacing w:after="60"/>
              <w:ind w:right="85"/>
              <w:rPr>
                <w:rFonts w:ascii="Calibri" w:hAnsi="Calibri"/>
              </w:rPr>
            </w:pPr>
          </w:p>
        </w:tc>
        <w:tc>
          <w:tcPr>
            <w:tcW w:w="3180" w:type="dxa"/>
            <w:shd w:val="clear" w:color="auto" w:fill="auto"/>
          </w:tcPr>
          <w:p w14:paraId="33A6279C" w14:textId="5717D6E2" w:rsidR="00CC6507" w:rsidRPr="00B16B2D" w:rsidRDefault="002965A5" w:rsidP="00D02CD5">
            <w:pPr>
              <w:spacing w:after="60"/>
              <w:ind w:left="80" w:right="170"/>
              <w:rPr>
                <w:rFonts w:ascii="Calibri" w:hAnsi="Calibri"/>
              </w:rPr>
            </w:pPr>
            <w:r w:rsidRPr="00B16B2D">
              <w:rPr>
                <w:rFonts w:ascii="Calibri" w:hAnsi="Calibri"/>
              </w:rPr>
              <w:t>Auditors</w:t>
            </w:r>
            <w:r w:rsidR="008264AE">
              <w:rPr>
                <w:rFonts w:ascii="Calibri" w:hAnsi="Calibri"/>
              </w:rPr>
              <w:t xml:space="preserve">/ cost accountants, program and finance management </w:t>
            </w:r>
            <w:proofErr w:type="spellStart"/>
            <w:r w:rsidR="008264AE">
              <w:rPr>
                <w:rFonts w:ascii="Calibri" w:hAnsi="Calibri"/>
              </w:rPr>
              <w:t>expwert</w:t>
            </w:r>
            <w:proofErr w:type="spellEnd"/>
            <w:r w:rsidR="008264AE">
              <w:rPr>
                <w:rFonts w:ascii="Calibri" w:hAnsi="Calibri"/>
              </w:rPr>
              <w:t xml:space="preserve">, </w:t>
            </w:r>
            <w:r w:rsidRPr="00B16B2D">
              <w:rPr>
                <w:rFonts w:ascii="Calibri" w:hAnsi="Calibri"/>
              </w:rPr>
              <w:t>with proven years of experience and relevant qualification</w:t>
            </w:r>
            <w:r w:rsidR="005C4630" w:rsidRPr="00B16B2D">
              <w:rPr>
                <w:rFonts w:ascii="Calibri" w:hAnsi="Calibri"/>
              </w:rPr>
              <w:t>s</w:t>
            </w:r>
            <w:r w:rsidRPr="00B16B2D">
              <w:rPr>
                <w:rFonts w:ascii="Calibri" w:hAnsi="Calibri"/>
              </w:rPr>
              <w:t>. One of the team member</w:t>
            </w:r>
            <w:r w:rsidR="005C4630" w:rsidRPr="00B16B2D">
              <w:rPr>
                <w:rFonts w:ascii="Calibri" w:hAnsi="Calibri"/>
              </w:rPr>
              <w:t>s</w:t>
            </w:r>
            <w:r w:rsidR="00D03EEE" w:rsidRPr="00B16B2D">
              <w:rPr>
                <w:rFonts w:ascii="Calibri" w:hAnsi="Calibri"/>
              </w:rPr>
              <w:t xml:space="preserve"> must have experience in using large databases and data mining</w:t>
            </w:r>
          </w:p>
        </w:tc>
        <w:tc>
          <w:tcPr>
            <w:tcW w:w="3663" w:type="dxa"/>
            <w:shd w:val="clear" w:color="auto" w:fill="auto"/>
          </w:tcPr>
          <w:p w14:paraId="084A5E52" w14:textId="77777777" w:rsidR="00CC6507" w:rsidRPr="00B16B2D" w:rsidRDefault="00D03EEE" w:rsidP="00D02CD5">
            <w:pPr>
              <w:spacing w:after="60"/>
              <w:ind w:left="75" w:right="175"/>
              <w:rPr>
                <w:rFonts w:ascii="Calibri" w:hAnsi="Calibri"/>
              </w:rPr>
            </w:pPr>
            <w:r w:rsidRPr="00B16B2D">
              <w:rPr>
                <w:rFonts w:ascii="Calibri" w:hAnsi="Calibri"/>
              </w:rPr>
              <w:t>Degree in accounting, finance</w:t>
            </w:r>
            <w:r w:rsidR="000B5ED1" w:rsidRPr="00B16B2D">
              <w:rPr>
                <w:rFonts w:ascii="Calibri" w:hAnsi="Calibri"/>
              </w:rPr>
              <w:t>, mathematics, statistics</w:t>
            </w:r>
            <w:r w:rsidRPr="00B16B2D">
              <w:rPr>
                <w:rFonts w:ascii="Calibri" w:hAnsi="Calibri"/>
              </w:rPr>
              <w:t xml:space="preserve"> or related field</w:t>
            </w:r>
          </w:p>
        </w:tc>
      </w:tr>
    </w:tbl>
    <w:p w14:paraId="3685423A" w14:textId="77777777" w:rsidR="00153D9A" w:rsidRPr="00B16B2D" w:rsidRDefault="00153D9A" w:rsidP="00D02CD5">
      <w:pPr>
        <w:pStyle w:val="Heading1"/>
        <w:spacing w:before="0"/>
        <w:rPr>
          <w:rFonts w:ascii="Calibri" w:hAnsi="Calibri"/>
          <w:b w:val="0"/>
          <w:kern w:val="0"/>
          <w:sz w:val="24"/>
        </w:rPr>
      </w:pPr>
    </w:p>
    <w:p w14:paraId="314A7BB2" w14:textId="77777777" w:rsidR="00902454" w:rsidRPr="00B16B2D" w:rsidRDefault="00902454" w:rsidP="00153D9A">
      <w:pPr>
        <w:pStyle w:val="Heading1"/>
        <w:numPr>
          <w:ilvl w:val="0"/>
          <w:numId w:val="21"/>
        </w:numPr>
        <w:spacing w:before="0"/>
        <w:rPr>
          <w:rFonts w:ascii="Calibri" w:hAnsi="Calibri"/>
          <w:kern w:val="0"/>
          <w:sz w:val="24"/>
        </w:rPr>
      </w:pPr>
      <w:r w:rsidRPr="00B16B2D">
        <w:rPr>
          <w:rFonts w:ascii="Calibri" w:hAnsi="Calibri"/>
          <w:kern w:val="0"/>
          <w:sz w:val="24"/>
        </w:rPr>
        <w:t xml:space="preserve">Duration of the Contract </w:t>
      </w:r>
    </w:p>
    <w:p w14:paraId="1178203A" w14:textId="3AA47A4D" w:rsidR="00902454" w:rsidRPr="00B16B2D" w:rsidRDefault="00902454" w:rsidP="00D02CD5">
      <w:pPr>
        <w:spacing w:after="60"/>
        <w:jc w:val="both"/>
        <w:rPr>
          <w:rFonts w:ascii="Calibri" w:hAnsi="Calibri"/>
        </w:rPr>
      </w:pPr>
      <w:r w:rsidRPr="00B16B2D">
        <w:rPr>
          <w:rFonts w:ascii="Calibri" w:hAnsi="Calibri"/>
        </w:rPr>
        <w:t xml:space="preserve">The contract </w:t>
      </w:r>
      <w:r w:rsidR="00153D9A" w:rsidRPr="00B16B2D">
        <w:rPr>
          <w:rFonts w:ascii="Calibri" w:hAnsi="Calibri"/>
        </w:rPr>
        <w:t>is expected to be</w:t>
      </w:r>
      <w:r w:rsidRPr="00B16B2D">
        <w:rPr>
          <w:rFonts w:ascii="Calibri" w:hAnsi="Calibri"/>
        </w:rPr>
        <w:t xml:space="preserve"> for</w:t>
      </w:r>
      <w:r w:rsidR="00CF653D" w:rsidRPr="00B16B2D">
        <w:rPr>
          <w:rFonts w:ascii="Calibri" w:hAnsi="Calibri"/>
        </w:rPr>
        <w:t xml:space="preserve"> </w:t>
      </w:r>
      <w:r w:rsidR="009C40C1" w:rsidRPr="00B16B2D">
        <w:rPr>
          <w:rFonts w:ascii="Calibri" w:hAnsi="Calibri"/>
        </w:rPr>
        <w:t>four</w:t>
      </w:r>
      <w:r w:rsidRPr="00B16B2D">
        <w:rPr>
          <w:rFonts w:ascii="Calibri" w:hAnsi="Calibri"/>
        </w:rPr>
        <w:t xml:space="preserve"> </w:t>
      </w:r>
      <w:r w:rsidR="00CF653D" w:rsidRPr="00B16B2D">
        <w:rPr>
          <w:rFonts w:ascii="Calibri" w:hAnsi="Calibri"/>
        </w:rPr>
        <w:t>(</w:t>
      </w:r>
      <w:r w:rsidR="00BF1C12" w:rsidRPr="00B16B2D">
        <w:rPr>
          <w:rFonts w:ascii="Calibri" w:hAnsi="Calibri"/>
        </w:rPr>
        <w:t>4</w:t>
      </w:r>
      <w:r w:rsidR="00CF653D" w:rsidRPr="00B16B2D">
        <w:rPr>
          <w:rFonts w:ascii="Calibri" w:hAnsi="Calibri"/>
        </w:rPr>
        <w:t>)</w:t>
      </w:r>
      <w:r w:rsidR="000D5FAF" w:rsidRPr="00B16B2D">
        <w:rPr>
          <w:rFonts w:ascii="Calibri" w:hAnsi="Calibri"/>
        </w:rPr>
        <w:t xml:space="preserve"> weeks.</w:t>
      </w:r>
    </w:p>
    <w:p w14:paraId="48790C43" w14:textId="77777777" w:rsidR="00153D9A" w:rsidRPr="00B16B2D" w:rsidRDefault="00153D9A" w:rsidP="00D02CD5">
      <w:pPr>
        <w:pStyle w:val="Heading1"/>
        <w:spacing w:before="0"/>
        <w:rPr>
          <w:rFonts w:ascii="Calibri" w:hAnsi="Calibri"/>
          <w:b w:val="0"/>
          <w:kern w:val="0"/>
          <w:sz w:val="24"/>
        </w:rPr>
      </w:pPr>
    </w:p>
    <w:p w14:paraId="66D85335" w14:textId="77777777" w:rsidR="000D5FAF" w:rsidRPr="00B16B2D" w:rsidRDefault="000D5FAF" w:rsidP="00153D9A">
      <w:pPr>
        <w:pStyle w:val="Heading1"/>
        <w:numPr>
          <w:ilvl w:val="0"/>
          <w:numId w:val="21"/>
        </w:numPr>
        <w:spacing w:before="0"/>
        <w:rPr>
          <w:rFonts w:ascii="Calibri" w:hAnsi="Calibri"/>
          <w:kern w:val="0"/>
          <w:sz w:val="24"/>
        </w:rPr>
      </w:pPr>
      <w:r w:rsidRPr="00B16B2D">
        <w:rPr>
          <w:rFonts w:ascii="Calibri" w:hAnsi="Calibri"/>
          <w:kern w:val="0"/>
          <w:sz w:val="24"/>
        </w:rPr>
        <w:t>Deliverables</w:t>
      </w:r>
    </w:p>
    <w:p w14:paraId="13FD1589" w14:textId="77777777" w:rsidR="00CF653D" w:rsidRPr="00B16B2D" w:rsidRDefault="000D5FAF" w:rsidP="00B16B2D">
      <w:pPr>
        <w:pStyle w:val="MediumGrid1-Accent21"/>
        <w:spacing w:after="60"/>
        <w:ind w:left="0"/>
        <w:jc w:val="both"/>
        <w:rPr>
          <w:rFonts w:ascii="Calibri" w:hAnsi="Calibri"/>
        </w:rPr>
      </w:pPr>
      <w:r w:rsidRPr="00B16B2D">
        <w:rPr>
          <w:rFonts w:ascii="Calibri" w:hAnsi="Calibri"/>
        </w:rPr>
        <w:t xml:space="preserve">The following </w:t>
      </w:r>
      <w:r w:rsidR="00153D9A" w:rsidRPr="00B16B2D">
        <w:rPr>
          <w:rFonts w:ascii="Calibri" w:hAnsi="Calibri"/>
        </w:rPr>
        <w:t>deliverables are expected:</w:t>
      </w:r>
    </w:p>
    <w:p w14:paraId="6F2FF738" w14:textId="52F49D62" w:rsidR="000D5FAF" w:rsidRPr="00B16B2D" w:rsidRDefault="00CF653D" w:rsidP="00B16B2D">
      <w:pPr>
        <w:pStyle w:val="MediumGrid1-Accent21"/>
        <w:numPr>
          <w:ilvl w:val="0"/>
          <w:numId w:val="17"/>
        </w:numPr>
        <w:spacing w:after="60"/>
        <w:jc w:val="both"/>
        <w:rPr>
          <w:rFonts w:ascii="Calibri" w:hAnsi="Calibri"/>
        </w:rPr>
      </w:pPr>
      <w:r w:rsidRPr="00B16B2D">
        <w:rPr>
          <w:rFonts w:ascii="Calibri" w:hAnsi="Calibri"/>
        </w:rPr>
        <w:t xml:space="preserve">A </w:t>
      </w:r>
      <w:r w:rsidR="00344C30">
        <w:rPr>
          <w:rFonts w:ascii="Calibri" w:hAnsi="Calibri"/>
        </w:rPr>
        <w:t>R</w:t>
      </w:r>
      <w:r w:rsidRPr="00B16B2D">
        <w:rPr>
          <w:rFonts w:ascii="Calibri" w:hAnsi="Calibri"/>
        </w:rPr>
        <w:t>eport of not more than ten (10) pages with relevant annexes.</w:t>
      </w:r>
      <w:r w:rsidR="00610531" w:rsidRPr="00B16B2D">
        <w:rPr>
          <w:rFonts w:ascii="Calibri" w:hAnsi="Calibri"/>
        </w:rPr>
        <w:t xml:space="preserve"> </w:t>
      </w:r>
    </w:p>
    <w:p w14:paraId="1E2C0001" w14:textId="77777777" w:rsidR="00CF653D" w:rsidRPr="00B16B2D" w:rsidRDefault="00CF653D" w:rsidP="00B16B2D">
      <w:pPr>
        <w:pStyle w:val="MediumGrid1-Accent21"/>
        <w:numPr>
          <w:ilvl w:val="0"/>
          <w:numId w:val="17"/>
        </w:numPr>
        <w:spacing w:after="60"/>
        <w:jc w:val="both"/>
        <w:rPr>
          <w:rFonts w:ascii="Calibri" w:hAnsi="Calibri"/>
        </w:rPr>
      </w:pPr>
      <w:r w:rsidRPr="00B16B2D">
        <w:rPr>
          <w:rFonts w:ascii="Calibri" w:hAnsi="Calibri"/>
        </w:rPr>
        <w:t xml:space="preserve">A letter stating the opinion of the auditors on the exercise. </w:t>
      </w:r>
    </w:p>
    <w:p w14:paraId="1908E621" w14:textId="77777777" w:rsidR="000539BA" w:rsidRPr="00B16B2D" w:rsidRDefault="000539BA" w:rsidP="00B16B2D">
      <w:pPr>
        <w:pStyle w:val="MediumGrid1-Accent21"/>
        <w:spacing w:after="60"/>
        <w:ind w:left="0"/>
        <w:jc w:val="both"/>
        <w:rPr>
          <w:rFonts w:ascii="Calibri" w:hAnsi="Calibri"/>
        </w:rPr>
      </w:pPr>
    </w:p>
    <w:p w14:paraId="05714992" w14:textId="77777777" w:rsidR="002E26A8" w:rsidRPr="00B16B2D" w:rsidRDefault="002E26A8" w:rsidP="002E26A8">
      <w:pPr>
        <w:pStyle w:val="Heading1"/>
        <w:numPr>
          <w:ilvl w:val="0"/>
          <w:numId w:val="21"/>
        </w:numPr>
        <w:spacing w:before="0"/>
        <w:rPr>
          <w:rFonts w:ascii="Calibri" w:hAnsi="Calibri"/>
          <w:kern w:val="0"/>
          <w:sz w:val="24"/>
        </w:rPr>
      </w:pPr>
      <w:r w:rsidRPr="00B16B2D">
        <w:rPr>
          <w:rFonts w:ascii="Calibri" w:hAnsi="Calibri"/>
          <w:kern w:val="0"/>
          <w:sz w:val="24"/>
        </w:rPr>
        <w:t xml:space="preserve">Breakdown of </w:t>
      </w:r>
      <w:r w:rsidR="005C4630" w:rsidRPr="00B16B2D">
        <w:rPr>
          <w:rFonts w:ascii="Calibri" w:hAnsi="Calibri"/>
          <w:kern w:val="0"/>
          <w:sz w:val="24"/>
        </w:rPr>
        <w:t xml:space="preserve">the </w:t>
      </w:r>
      <w:r w:rsidRPr="00B16B2D">
        <w:rPr>
          <w:rFonts w:ascii="Calibri" w:hAnsi="Calibri"/>
          <w:kern w:val="0"/>
          <w:sz w:val="24"/>
        </w:rPr>
        <w:t>number of days</w:t>
      </w:r>
    </w:p>
    <w:p w14:paraId="662027C0" w14:textId="77777777" w:rsidR="000539BA" w:rsidRPr="00B16B2D" w:rsidRDefault="000539BA" w:rsidP="00B16B2D">
      <w:pPr>
        <w:pStyle w:val="MediumGrid1-Accent21"/>
        <w:spacing w:after="60"/>
        <w:ind w:left="0"/>
        <w:jc w:val="both"/>
        <w:rPr>
          <w:rFonts w:ascii="Calibri" w:hAnsi="Calibri"/>
        </w:rPr>
      </w:pPr>
    </w:p>
    <w:tbl>
      <w:tblPr>
        <w:tblW w:w="9990" w:type="dxa"/>
        <w:tblInd w:w="-72" w:type="dxa"/>
        <w:tblLook w:val="04A0" w:firstRow="1" w:lastRow="0" w:firstColumn="1" w:lastColumn="0" w:noHBand="0" w:noVBand="1"/>
      </w:tblPr>
      <w:tblGrid>
        <w:gridCol w:w="545"/>
        <w:gridCol w:w="4512"/>
        <w:gridCol w:w="946"/>
        <w:gridCol w:w="4614"/>
      </w:tblGrid>
      <w:tr w:rsidR="00992577" w:rsidRPr="007241F1" w14:paraId="01B49654" w14:textId="77777777" w:rsidTr="002E53B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hideMark/>
          </w:tcPr>
          <w:p w14:paraId="7AA1D60D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S/N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hideMark/>
          </w:tcPr>
          <w:p w14:paraId="2D9DA0BE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Description of activities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hideMark/>
          </w:tcPr>
          <w:p w14:paraId="132C61C8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No of days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hideMark/>
          </w:tcPr>
          <w:p w14:paraId="28AFF772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Associated Deliverables</w:t>
            </w:r>
          </w:p>
        </w:tc>
      </w:tr>
      <w:tr w:rsidR="00992577" w:rsidRPr="00B16B2D" w14:paraId="4E38E550" w14:textId="77777777" w:rsidTr="002E53B5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7B3B1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52FFF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Commissioning of Assignment.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F17ED" w14:textId="77777777" w:rsidR="00320F33" w:rsidRPr="00B16B2D" w:rsidRDefault="00320F33" w:rsidP="00D02CD5">
            <w:pPr>
              <w:spacing w:after="60"/>
              <w:jc w:val="center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5C8E5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 xml:space="preserve"> Signed Contract.</w:t>
            </w:r>
          </w:p>
        </w:tc>
      </w:tr>
      <w:tr w:rsidR="00992577" w:rsidRPr="00B16B2D" w14:paraId="6A1F6279" w14:textId="77777777" w:rsidTr="002E53B5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20C05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4137A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Project briefing, start-up meeting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C0C4F" w14:textId="77777777" w:rsidR="00320F33" w:rsidRPr="00B16B2D" w:rsidRDefault="00F73185" w:rsidP="00D02CD5">
            <w:pPr>
              <w:spacing w:after="60"/>
              <w:jc w:val="center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0.5days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0F622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Synchronized understanding of expectations between client and consulting firm.</w:t>
            </w:r>
          </w:p>
        </w:tc>
      </w:tr>
      <w:tr w:rsidR="00992577" w:rsidRPr="007241F1" w14:paraId="0F02F38B" w14:textId="77777777" w:rsidTr="002E53B5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199EB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A9DAB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Desk Review of Materials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F8608" w14:textId="6AB704D4" w:rsidR="00320F33" w:rsidRPr="00B16B2D" w:rsidRDefault="004C342E" w:rsidP="00D02CD5">
            <w:pPr>
              <w:spacing w:after="60"/>
              <w:jc w:val="center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2 days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5C3BC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Consulting firm conversant with background documents including review of NASSCO CBT manual, Operation Manual and NCTO Operational Manual</w:t>
            </w:r>
          </w:p>
        </w:tc>
      </w:tr>
      <w:tr w:rsidR="00992577" w:rsidRPr="007241F1" w14:paraId="1DA2876F" w14:textId="77777777" w:rsidTr="002E53B5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5D2B7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1B1AA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Preparation and Submission of Inception Report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991EA" w14:textId="77777777" w:rsidR="00320F33" w:rsidRPr="00B16B2D" w:rsidRDefault="00F73185" w:rsidP="00D02CD5">
            <w:pPr>
              <w:spacing w:after="60"/>
              <w:jc w:val="center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2 days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F789A" w14:textId="0A412690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Delivery of an inception report detailing methodology and work plan</w:t>
            </w:r>
            <w:r w:rsidR="005C4630" w:rsidRPr="00B16B2D">
              <w:rPr>
                <w:rFonts w:ascii="Calibri" w:hAnsi="Calibri"/>
                <w:sz w:val="22"/>
              </w:rPr>
              <w:t>.</w:t>
            </w:r>
          </w:p>
        </w:tc>
      </w:tr>
      <w:tr w:rsidR="00992577" w:rsidRPr="007241F1" w14:paraId="45BF95EB" w14:textId="77777777" w:rsidTr="002E53B5">
        <w:trPr>
          <w:trHeight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27ED8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91649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 xml:space="preserve">Review and acceptance of Inception Report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8C50F" w14:textId="77777777" w:rsidR="00320F33" w:rsidRPr="00B16B2D" w:rsidRDefault="00F73185" w:rsidP="00D02CD5">
            <w:pPr>
              <w:spacing w:after="60"/>
              <w:jc w:val="center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2 days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CC8C9" w14:textId="00712B39" w:rsidR="00320F33" w:rsidRPr="00B16B2D" w:rsidDel="0082479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 xml:space="preserve">Inception Report subjected to World Bank, NASSCO, and NSIO review, </w:t>
            </w:r>
            <w:r w:rsidR="005C4630" w:rsidRPr="00B16B2D">
              <w:rPr>
                <w:rFonts w:ascii="Calibri" w:hAnsi="Calibri"/>
                <w:sz w:val="22"/>
              </w:rPr>
              <w:t>based on</w:t>
            </w:r>
            <w:r w:rsidRPr="00B16B2D">
              <w:rPr>
                <w:rFonts w:ascii="Calibri" w:hAnsi="Calibri"/>
                <w:sz w:val="22"/>
              </w:rPr>
              <w:t xml:space="preserve"> which consulting firm can proceed.</w:t>
            </w:r>
          </w:p>
        </w:tc>
      </w:tr>
      <w:tr w:rsidR="00992577" w:rsidRPr="00B16B2D" w14:paraId="11210828" w14:textId="77777777" w:rsidTr="002E53B5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73C79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7E191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Desk Review of Data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5824A" w14:textId="77777777" w:rsidR="00320F33" w:rsidRPr="00B16B2D" w:rsidRDefault="00F73185" w:rsidP="00D02CD5">
            <w:pPr>
              <w:spacing w:after="60"/>
              <w:jc w:val="center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5 days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45296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Desk analysis of households’ data under investigation.</w:t>
            </w:r>
          </w:p>
        </w:tc>
      </w:tr>
      <w:tr w:rsidR="00992577" w:rsidRPr="00B16B2D" w14:paraId="5FCF989D" w14:textId="77777777" w:rsidTr="002E53B5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29AD5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AAEFB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Field Wor</w:t>
            </w:r>
            <w:r w:rsidR="00F73185" w:rsidRPr="00B16B2D">
              <w:rPr>
                <w:rFonts w:ascii="Calibri" w:hAnsi="Calibri"/>
                <w:sz w:val="22"/>
              </w:rPr>
              <w:t>k:</w:t>
            </w:r>
          </w:p>
          <w:p w14:paraId="07D41965" w14:textId="12151736" w:rsidR="00F73185" w:rsidRPr="00153EDF" w:rsidRDefault="00F73185" w:rsidP="00D02CD5">
            <w:pPr>
              <w:spacing w:after="60"/>
              <w:jc w:val="both"/>
              <w:rPr>
                <w:rFonts w:ascii="Calibri" w:hAnsi="Calibri"/>
                <w:sz w:val="20"/>
              </w:rPr>
            </w:pPr>
            <w:r w:rsidRPr="002E53B5">
              <w:rPr>
                <w:rFonts w:ascii="Calibri" w:hAnsi="Calibri"/>
                <w:sz w:val="20"/>
              </w:rPr>
              <w:t xml:space="preserve">NW: </w:t>
            </w:r>
            <w:r w:rsidR="00126F03" w:rsidRPr="002E53B5">
              <w:rPr>
                <w:rFonts w:ascii="Calibri" w:hAnsi="Calibri"/>
                <w:sz w:val="20"/>
              </w:rPr>
              <w:t>14</w:t>
            </w:r>
            <w:r w:rsidR="00C07E9D">
              <w:rPr>
                <w:rFonts w:ascii="Calibri" w:hAnsi="Calibri"/>
                <w:sz w:val="20"/>
              </w:rPr>
              <w:t xml:space="preserve">; </w:t>
            </w:r>
            <w:r w:rsidRPr="002E53B5">
              <w:rPr>
                <w:rFonts w:ascii="Calibri" w:hAnsi="Calibri"/>
                <w:sz w:val="20"/>
              </w:rPr>
              <w:t>NE:</w:t>
            </w:r>
            <w:r w:rsidR="00F61641" w:rsidRPr="002E53B5">
              <w:rPr>
                <w:rFonts w:ascii="Calibri" w:hAnsi="Calibri"/>
                <w:sz w:val="20"/>
              </w:rPr>
              <w:t>7</w:t>
            </w:r>
            <w:r w:rsidR="00C07E9D">
              <w:rPr>
                <w:rFonts w:ascii="Calibri" w:hAnsi="Calibri"/>
                <w:sz w:val="20"/>
              </w:rPr>
              <w:t xml:space="preserve">; </w:t>
            </w:r>
            <w:r w:rsidRPr="00153EDF">
              <w:rPr>
                <w:rFonts w:ascii="Calibri" w:hAnsi="Calibri"/>
                <w:sz w:val="20"/>
              </w:rPr>
              <w:t>NC:</w:t>
            </w:r>
            <w:r w:rsidR="00F61641" w:rsidRPr="00153EDF">
              <w:rPr>
                <w:rFonts w:ascii="Calibri" w:hAnsi="Calibri"/>
                <w:sz w:val="20"/>
              </w:rPr>
              <w:t>16</w:t>
            </w:r>
          </w:p>
          <w:p w14:paraId="5099DBB9" w14:textId="7415364A" w:rsidR="00F73185" w:rsidRPr="00B16B2D" w:rsidRDefault="00F7318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153EDF">
              <w:rPr>
                <w:rFonts w:ascii="Calibri" w:hAnsi="Calibri"/>
                <w:sz w:val="20"/>
              </w:rPr>
              <w:t>SW:</w:t>
            </w:r>
            <w:r w:rsidR="00F61641" w:rsidRPr="00153EDF">
              <w:rPr>
                <w:rFonts w:ascii="Calibri" w:hAnsi="Calibri"/>
                <w:sz w:val="20"/>
              </w:rPr>
              <w:t>14</w:t>
            </w:r>
            <w:r w:rsidR="00C07E9D">
              <w:rPr>
                <w:rFonts w:ascii="Calibri" w:hAnsi="Calibri"/>
                <w:sz w:val="20"/>
              </w:rPr>
              <w:t xml:space="preserve">; </w:t>
            </w:r>
            <w:r w:rsidRPr="00153EDF">
              <w:rPr>
                <w:rFonts w:ascii="Calibri" w:hAnsi="Calibri"/>
                <w:sz w:val="20"/>
              </w:rPr>
              <w:t>SE:</w:t>
            </w:r>
            <w:r w:rsidR="00F61641" w:rsidRPr="00153EDF">
              <w:rPr>
                <w:rFonts w:ascii="Calibri" w:hAnsi="Calibri"/>
                <w:sz w:val="20"/>
              </w:rPr>
              <w:t>3</w:t>
            </w:r>
            <w:r w:rsidR="00C07E9D">
              <w:rPr>
                <w:rFonts w:ascii="Calibri" w:hAnsi="Calibri"/>
                <w:sz w:val="20"/>
              </w:rPr>
              <w:t xml:space="preserve">; </w:t>
            </w:r>
            <w:r w:rsidRPr="00153EDF">
              <w:rPr>
                <w:rFonts w:ascii="Calibri" w:hAnsi="Calibri"/>
                <w:sz w:val="20"/>
              </w:rPr>
              <w:t>SS:</w:t>
            </w:r>
            <w:r w:rsidR="00F61641" w:rsidRPr="00153EDF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F2F89" w14:textId="77777777" w:rsidR="00320F33" w:rsidRPr="00B16B2D" w:rsidRDefault="00F61641" w:rsidP="00D02CD5">
            <w:pPr>
              <w:spacing w:after="60"/>
              <w:jc w:val="center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20 days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F60C1" w14:textId="77777777" w:rsidR="00320F33" w:rsidRPr="00B16B2D" w:rsidDel="0082479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 xml:space="preserve">Field verification of households’ data </w:t>
            </w:r>
          </w:p>
        </w:tc>
      </w:tr>
      <w:tr w:rsidR="00992577" w:rsidRPr="007241F1" w14:paraId="7735428C" w14:textId="77777777" w:rsidTr="002E53B5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EAA55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95CEA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Preparation and Submission of Draft Report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E5546" w14:textId="77777777" w:rsidR="00320F33" w:rsidRPr="00B16B2D" w:rsidRDefault="00F73185" w:rsidP="00D02CD5">
            <w:pPr>
              <w:spacing w:after="60"/>
              <w:jc w:val="center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7 days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A3738" w14:textId="1DF67C5C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 xml:space="preserve">A draft </w:t>
            </w:r>
            <w:r w:rsidR="00344C30">
              <w:rPr>
                <w:rFonts w:ascii="Calibri" w:hAnsi="Calibri"/>
                <w:sz w:val="22"/>
              </w:rPr>
              <w:t>R</w:t>
            </w:r>
            <w:r w:rsidRPr="00B16B2D">
              <w:rPr>
                <w:rFonts w:ascii="Calibri" w:hAnsi="Calibri"/>
                <w:sz w:val="22"/>
              </w:rPr>
              <w:t xml:space="preserve">eport containing details of </w:t>
            </w:r>
            <w:r w:rsidR="005C4630" w:rsidRPr="00B16B2D">
              <w:rPr>
                <w:rFonts w:ascii="Calibri" w:hAnsi="Calibri"/>
                <w:sz w:val="22"/>
              </w:rPr>
              <w:t xml:space="preserve">the </w:t>
            </w:r>
            <w:r w:rsidR="00CC6507" w:rsidRPr="00B16B2D">
              <w:rPr>
                <w:rFonts w:ascii="Calibri" w:hAnsi="Calibri"/>
                <w:sz w:val="22"/>
              </w:rPr>
              <w:t xml:space="preserve">methodology, findings which </w:t>
            </w:r>
            <w:r w:rsidR="00344C30">
              <w:rPr>
                <w:rFonts w:ascii="Calibri" w:hAnsi="Calibri"/>
                <w:sz w:val="22"/>
              </w:rPr>
              <w:t xml:space="preserve">would </w:t>
            </w:r>
            <w:r w:rsidR="00CC6507" w:rsidRPr="00B16B2D">
              <w:rPr>
                <w:rFonts w:ascii="Calibri" w:hAnsi="Calibri"/>
                <w:sz w:val="22"/>
              </w:rPr>
              <w:t>include reconciliation, exceptions</w:t>
            </w:r>
            <w:r w:rsidR="00C07E9D">
              <w:rPr>
                <w:rFonts w:ascii="Calibri" w:hAnsi="Calibri"/>
                <w:sz w:val="22"/>
              </w:rPr>
              <w:t>,</w:t>
            </w:r>
            <w:r w:rsidR="00CC6507" w:rsidRPr="00B16B2D">
              <w:rPr>
                <w:rFonts w:ascii="Calibri" w:hAnsi="Calibri"/>
                <w:sz w:val="22"/>
              </w:rPr>
              <w:t xml:space="preserve"> and </w:t>
            </w:r>
            <w:r w:rsidR="00344C30">
              <w:rPr>
                <w:rFonts w:ascii="Calibri" w:hAnsi="Calibri"/>
                <w:sz w:val="22"/>
              </w:rPr>
              <w:t xml:space="preserve">the </w:t>
            </w:r>
            <w:r w:rsidR="00CC6507" w:rsidRPr="00B16B2D">
              <w:rPr>
                <w:rFonts w:ascii="Calibri" w:hAnsi="Calibri"/>
                <w:sz w:val="22"/>
              </w:rPr>
              <w:t>opinion of the firm</w:t>
            </w:r>
          </w:p>
        </w:tc>
      </w:tr>
      <w:tr w:rsidR="00992577" w:rsidRPr="007241F1" w14:paraId="79CD6505" w14:textId="77777777" w:rsidTr="002E53B5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6E194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8DA30" w14:textId="77777777" w:rsidR="00320F33" w:rsidRPr="00B16B2D" w:rsidRDefault="00320F33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Preparation and Submission of Final report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71ABC" w14:textId="77777777" w:rsidR="00320F33" w:rsidRPr="00B16B2D" w:rsidRDefault="00F73185" w:rsidP="00D02CD5">
            <w:pPr>
              <w:spacing w:after="60"/>
              <w:jc w:val="center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>5 days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97A16" w14:textId="68159C88" w:rsidR="00320F33" w:rsidRPr="00B16B2D" w:rsidRDefault="00CC6507" w:rsidP="00D02CD5">
            <w:pPr>
              <w:spacing w:after="60"/>
              <w:jc w:val="both"/>
              <w:rPr>
                <w:rFonts w:ascii="Calibri" w:hAnsi="Calibri"/>
                <w:sz w:val="22"/>
              </w:rPr>
            </w:pPr>
            <w:r w:rsidRPr="00B16B2D">
              <w:rPr>
                <w:rFonts w:ascii="Calibri" w:hAnsi="Calibri"/>
                <w:sz w:val="22"/>
              </w:rPr>
              <w:t xml:space="preserve">A </w:t>
            </w:r>
            <w:r w:rsidR="004C342E" w:rsidRPr="00B16B2D">
              <w:rPr>
                <w:rFonts w:ascii="Calibri" w:hAnsi="Calibri"/>
                <w:sz w:val="22"/>
              </w:rPr>
              <w:t xml:space="preserve">final </w:t>
            </w:r>
            <w:r w:rsidR="001649C3" w:rsidRPr="00B16B2D">
              <w:rPr>
                <w:rFonts w:ascii="Calibri" w:hAnsi="Calibri"/>
                <w:sz w:val="22"/>
              </w:rPr>
              <w:t>clean</w:t>
            </w:r>
            <w:r w:rsidR="001649C3">
              <w:rPr>
                <w:rFonts w:ascii="Calibri" w:hAnsi="Calibri"/>
                <w:sz w:val="22"/>
              </w:rPr>
              <w:t xml:space="preserve"> </w:t>
            </w:r>
            <w:r w:rsidR="001649C3" w:rsidRPr="00B16B2D">
              <w:rPr>
                <w:rFonts w:ascii="Calibri" w:hAnsi="Calibri"/>
                <w:sz w:val="22"/>
              </w:rPr>
              <w:t>copy</w:t>
            </w:r>
            <w:r w:rsidR="004C342E" w:rsidRPr="00B16B2D">
              <w:rPr>
                <w:rFonts w:ascii="Calibri" w:hAnsi="Calibri"/>
                <w:sz w:val="22"/>
              </w:rPr>
              <w:t xml:space="preserve"> of the </w:t>
            </w:r>
            <w:r w:rsidR="00344C30">
              <w:rPr>
                <w:rFonts w:ascii="Calibri" w:hAnsi="Calibri"/>
                <w:sz w:val="22"/>
              </w:rPr>
              <w:t>R</w:t>
            </w:r>
            <w:r w:rsidR="004C342E" w:rsidRPr="00B16B2D">
              <w:rPr>
                <w:rFonts w:ascii="Calibri" w:hAnsi="Calibri"/>
                <w:sz w:val="22"/>
              </w:rPr>
              <w:t>eport</w:t>
            </w:r>
          </w:p>
        </w:tc>
      </w:tr>
    </w:tbl>
    <w:p w14:paraId="57A97883" w14:textId="77777777" w:rsidR="00320F33" w:rsidRPr="00B16B2D" w:rsidRDefault="00320F33" w:rsidP="00B16B2D">
      <w:pPr>
        <w:pStyle w:val="MediumGrid1-Accent21"/>
        <w:spacing w:after="60"/>
        <w:jc w:val="both"/>
        <w:rPr>
          <w:rFonts w:ascii="Calibri" w:hAnsi="Calibri"/>
        </w:rPr>
      </w:pPr>
    </w:p>
    <w:p w14:paraId="1B8111A2" w14:textId="77777777" w:rsidR="00F73185" w:rsidRPr="00B16B2D" w:rsidRDefault="00F73185" w:rsidP="00D02CD5">
      <w:pPr>
        <w:pStyle w:val="Heading1"/>
        <w:numPr>
          <w:ilvl w:val="0"/>
          <w:numId w:val="21"/>
        </w:numPr>
        <w:spacing w:before="0"/>
        <w:rPr>
          <w:rFonts w:ascii="Calibri" w:hAnsi="Calibri"/>
          <w:b w:val="0"/>
          <w:kern w:val="0"/>
          <w:sz w:val="24"/>
          <w:lang w:val="fr-FR"/>
        </w:rPr>
      </w:pPr>
      <w:r w:rsidRPr="00B16B2D">
        <w:rPr>
          <w:rFonts w:ascii="Calibri" w:hAnsi="Calibri"/>
          <w:b w:val="0"/>
          <w:kern w:val="0"/>
          <w:sz w:val="24"/>
          <w:lang w:val="fr-FR"/>
        </w:rPr>
        <w:t>Procurement method – Consultant Qualification (CQ)</w:t>
      </w:r>
    </w:p>
    <w:p w14:paraId="418E37BD" w14:textId="77777777" w:rsidR="003C78B1" w:rsidRPr="00B16B2D" w:rsidRDefault="008A6F6A" w:rsidP="00D02CD5">
      <w:pPr>
        <w:pStyle w:val="Heading1"/>
        <w:numPr>
          <w:ilvl w:val="0"/>
          <w:numId w:val="21"/>
        </w:numPr>
        <w:spacing w:before="0"/>
        <w:rPr>
          <w:rFonts w:ascii="Calibri" w:hAnsi="Calibri"/>
          <w:b w:val="0"/>
          <w:kern w:val="0"/>
          <w:sz w:val="24"/>
        </w:rPr>
      </w:pPr>
      <w:r w:rsidRPr="00B16B2D">
        <w:rPr>
          <w:rFonts w:ascii="Calibri" w:hAnsi="Calibri"/>
          <w:b w:val="0"/>
          <w:kern w:val="0"/>
          <w:sz w:val="24"/>
        </w:rPr>
        <w:t>Payment Schedule</w:t>
      </w:r>
      <w:r w:rsidR="00F73185" w:rsidRPr="00B16B2D">
        <w:rPr>
          <w:rFonts w:ascii="Calibri" w:hAnsi="Calibri"/>
          <w:b w:val="0"/>
          <w:kern w:val="0"/>
          <w:sz w:val="24"/>
        </w:rPr>
        <w:t>:</w:t>
      </w:r>
    </w:p>
    <w:p w14:paraId="347B3ED5" w14:textId="0AB7694A" w:rsidR="00925AAC" w:rsidRDefault="00925AAC" w:rsidP="00F73185">
      <w:pPr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 xml:space="preserve">10% at </w:t>
      </w:r>
      <w:proofErr w:type="spellStart"/>
      <w:r>
        <w:rPr>
          <w:rFonts w:ascii="Calibri" w:hAnsi="Calibri"/>
        </w:rPr>
        <w:t>siging</w:t>
      </w:r>
      <w:proofErr w:type="spellEnd"/>
      <w:r>
        <w:rPr>
          <w:rFonts w:ascii="Calibri" w:hAnsi="Calibri"/>
        </w:rPr>
        <w:t xml:space="preserve"> of the contract</w:t>
      </w:r>
    </w:p>
    <w:p w14:paraId="07FD16DE" w14:textId="2EE8CFDE" w:rsidR="00F73185" w:rsidRPr="00B16B2D" w:rsidRDefault="00925AAC" w:rsidP="00F73185">
      <w:pPr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2</w:t>
      </w:r>
      <w:r w:rsidR="008264AE">
        <w:rPr>
          <w:rFonts w:ascii="Calibri" w:hAnsi="Calibri"/>
        </w:rPr>
        <w:t xml:space="preserve">0 </w:t>
      </w:r>
      <w:r w:rsidR="00F73185" w:rsidRPr="00B16B2D">
        <w:rPr>
          <w:rFonts w:ascii="Calibri" w:hAnsi="Calibri"/>
        </w:rPr>
        <w:t xml:space="preserve">% after </w:t>
      </w:r>
      <w:r w:rsidR="005C4630" w:rsidRPr="00B16B2D">
        <w:rPr>
          <w:rFonts w:ascii="Calibri" w:hAnsi="Calibri"/>
        </w:rPr>
        <w:t xml:space="preserve">the </w:t>
      </w:r>
      <w:r w:rsidR="00F73185" w:rsidRPr="00B16B2D">
        <w:rPr>
          <w:rFonts w:ascii="Calibri" w:hAnsi="Calibri"/>
        </w:rPr>
        <w:t>inception report</w:t>
      </w:r>
    </w:p>
    <w:p w14:paraId="136307E3" w14:textId="77777777" w:rsidR="00F73185" w:rsidRPr="00B16B2D" w:rsidRDefault="00F73185" w:rsidP="00F73185">
      <w:pPr>
        <w:numPr>
          <w:ilvl w:val="0"/>
          <w:numId w:val="28"/>
        </w:numPr>
        <w:rPr>
          <w:rFonts w:ascii="Calibri" w:hAnsi="Calibri"/>
        </w:rPr>
      </w:pPr>
      <w:r w:rsidRPr="00B16B2D">
        <w:rPr>
          <w:rFonts w:ascii="Calibri" w:hAnsi="Calibri"/>
        </w:rPr>
        <w:t>50% after</w:t>
      </w:r>
      <w:r w:rsidR="005C4630" w:rsidRPr="00B16B2D">
        <w:rPr>
          <w:rFonts w:ascii="Calibri" w:hAnsi="Calibri"/>
        </w:rPr>
        <w:t xml:space="preserve"> the</w:t>
      </w:r>
      <w:r w:rsidRPr="00B16B2D">
        <w:rPr>
          <w:rFonts w:ascii="Calibri" w:hAnsi="Calibri"/>
        </w:rPr>
        <w:t xml:space="preserve"> final report draft </w:t>
      </w:r>
    </w:p>
    <w:p w14:paraId="59323CA5" w14:textId="277A68FB" w:rsidR="003C78B1" w:rsidRPr="00B16B2D" w:rsidRDefault="00925AAC" w:rsidP="00246060">
      <w:pPr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>2</w:t>
      </w:r>
      <w:r w:rsidR="008264AE">
        <w:rPr>
          <w:rFonts w:ascii="Calibri" w:hAnsi="Calibri"/>
        </w:rPr>
        <w:t xml:space="preserve">0 </w:t>
      </w:r>
      <w:r w:rsidR="00F73185" w:rsidRPr="00B16B2D">
        <w:rPr>
          <w:rFonts w:ascii="Calibri" w:hAnsi="Calibri"/>
        </w:rPr>
        <w:t xml:space="preserve">% after </w:t>
      </w:r>
      <w:r w:rsidR="005C4630" w:rsidRPr="00B16B2D">
        <w:rPr>
          <w:rFonts w:ascii="Calibri" w:hAnsi="Calibri"/>
        </w:rPr>
        <w:t xml:space="preserve">the </w:t>
      </w:r>
      <w:r w:rsidR="00F73185" w:rsidRPr="00B16B2D">
        <w:rPr>
          <w:rFonts w:ascii="Calibri" w:hAnsi="Calibri"/>
        </w:rPr>
        <w:t>final re</w:t>
      </w:r>
      <w:r w:rsidR="00246060" w:rsidRPr="00B16B2D">
        <w:rPr>
          <w:rFonts w:ascii="Calibri" w:hAnsi="Calibri"/>
        </w:rPr>
        <w:t>port</w:t>
      </w:r>
    </w:p>
    <w:p w14:paraId="716B4A47" w14:textId="6E6816B1" w:rsidR="007D58C1" w:rsidRPr="00B16B2D" w:rsidRDefault="007D58C1" w:rsidP="00CE7B93">
      <w:pPr>
        <w:pStyle w:val="Heading1"/>
        <w:spacing w:before="0"/>
        <w:rPr>
          <w:rFonts w:ascii="Calibri" w:hAnsi="Calibri"/>
          <w:b w:val="0"/>
          <w:kern w:val="0"/>
          <w:sz w:val="24"/>
        </w:rPr>
      </w:pPr>
    </w:p>
    <w:p w14:paraId="3C0D815A" w14:textId="77777777" w:rsidR="008D0012" w:rsidRPr="00B16B2D" w:rsidRDefault="008D0012" w:rsidP="008D0012">
      <w:pPr>
        <w:rPr>
          <w:rFonts w:ascii="Calibri" w:hAnsi="Calibri"/>
        </w:rPr>
      </w:pPr>
    </w:p>
    <w:sectPr w:rsidR="008D0012" w:rsidRPr="00B16B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6151" w14:textId="77777777" w:rsidR="00BE74D5" w:rsidRDefault="00BE74D5" w:rsidP="00683C5E">
      <w:r>
        <w:separator/>
      </w:r>
    </w:p>
  </w:endnote>
  <w:endnote w:type="continuationSeparator" w:id="0">
    <w:p w14:paraId="0BBD24FD" w14:textId="77777777" w:rsidR="00BE74D5" w:rsidRDefault="00BE74D5" w:rsidP="00683C5E">
      <w:r>
        <w:continuationSeparator/>
      </w:r>
    </w:p>
  </w:endnote>
  <w:endnote w:type="continuationNotice" w:id="1">
    <w:p w14:paraId="3812A6EE" w14:textId="77777777" w:rsidR="00BE74D5" w:rsidRDefault="00BE74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0EE7" w14:textId="77777777" w:rsidR="00610531" w:rsidRDefault="006105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7913">
      <w:rPr>
        <w:noProof/>
      </w:rPr>
      <w:t>1</w:t>
    </w:r>
    <w:r>
      <w:rPr>
        <w:noProof/>
      </w:rPr>
      <w:fldChar w:fldCharType="end"/>
    </w:r>
  </w:p>
  <w:p w14:paraId="28007435" w14:textId="77777777" w:rsidR="00610531" w:rsidRDefault="00610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4B02" w14:textId="77777777" w:rsidR="00BE74D5" w:rsidRDefault="00BE74D5" w:rsidP="00683C5E">
      <w:r>
        <w:separator/>
      </w:r>
    </w:p>
  </w:footnote>
  <w:footnote w:type="continuationSeparator" w:id="0">
    <w:p w14:paraId="72AA9583" w14:textId="77777777" w:rsidR="00BE74D5" w:rsidRDefault="00BE74D5" w:rsidP="00683C5E">
      <w:r>
        <w:continuationSeparator/>
      </w:r>
    </w:p>
  </w:footnote>
  <w:footnote w:type="continuationNotice" w:id="1">
    <w:p w14:paraId="704BFDF5" w14:textId="77777777" w:rsidR="00BE74D5" w:rsidRDefault="00BE74D5"/>
  </w:footnote>
  <w:footnote w:id="2">
    <w:p w14:paraId="37963FBD" w14:textId="77777777" w:rsidR="001C6083" w:rsidRPr="00B16B2D" w:rsidRDefault="001C608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Payment refers to base payments of N5000 per month, Top up payments to eligible beneficiaries and any payment such as arrears.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6B5E" w14:textId="77777777" w:rsidR="00992577" w:rsidRDefault="00992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B43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36040"/>
    <w:multiLevelType w:val="hybridMultilevel"/>
    <w:tmpl w:val="4F665ED0"/>
    <w:lvl w:ilvl="0" w:tplc="387C7F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F1DF5"/>
    <w:multiLevelType w:val="hybridMultilevel"/>
    <w:tmpl w:val="158A9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D1CED"/>
    <w:multiLevelType w:val="hybridMultilevel"/>
    <w:tmpl w:val="269A5428"/>
    <w:lvl w:ilvl="0" w:tplc="58B0E1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6D96DEA"/>
    <w:multiLevelType w:val="hybridMultilevel"/>
    <w:tmpl w:val="F3F0098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E124BB"/>
    <w:multiLevelType w:val="hybridMultilevel"/>
    <w:tmpl w:val="C5E67B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709F2"/>
    <w:multiLevelType w:val="multilevel"/>
    <w:tmpl w:val="587CF1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582D8A"/>
    <w:multiLevelType w:val="hybridMultilevel"/>
    <w:tmpl w:val="B538AF62"/>
    <w:lvl w:ilvl="0" w:tplc="9C4217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52038"/>
    <w:multiLevelType w:val="hybridMultilevel"/>
    <w:tmpl w:val="E6E4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7599E"/>
    <w:multiLevelType w:val="hybridMultilevel"/>
    <w:tmpl w:val="ACEA21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618FC"/>
    <w:multiLevelType w:val="hybridMultilevel"/>
    <w:tmpl w:val="5582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4722F"/>
    <w:multiLevelType w:val="multilevel"/>
    <w:tmpl w:val="055AA03A"/>
    <w:lvl w:ilvl="0">
      <w:start w:val="1"/>
      <w:numFmt w:val="upperRoman"/>
      <w:lvlText w:val="%1."/>
      <w:lvlJc w:val="right"/>
      <w:pPr>
        <w:ind w:left="1260" w:hanging="18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7307D2"/>
    <w:multiLevelType w:val="multilevel"/>
    <w:tmpl w:val="545492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1BA6A4F"/>
    <w:multiLevelType w:val="hybridMultilevel"/>
    <w:tmpl w:val="396EA4E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314733"/>
    <w:multiLevelType w:val="hybridMultilevel"/>
    <w:tmpl w:val="AC2A5028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2F5AF8"/>
    <w:multiLevelType w:val="hybridMultilevel"/>
    <w:tmpl w:val="D258FDF6"/>
    <w:lvl w:ilvl="0" w:tplc="56E64448">
      <w:start w:val="2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6369D"/>
    <w:multiLevelType w:val="hybridMultilevel"/>
    <w:tmpl w:val="2C9E2A98"/>
    <w:lvl w:ilvl="0" w:tplc="78667BCA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F528C"/>
    <w:multiLevelType w:val="hybridMultilevel"/>
    <w:tmpl w:val="F5F2F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3036C5"/>
    <w:multiLevelType w:val="hybridMultilevel"/>
    <w:tmpl w:val="E0582F84"/>
    <w:lvl w:ilvl="0" w:tplc="488CA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00A56"/>
    <w:multiLevelType w:val="hybridMultilevel"/>
    <w:tmpl w:val="3652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64AA8"/>
    <w:multiLevelType w:val="hybridMultilevel"/>
    <w:tmpl w:val="BE741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53D11"/>
    <w:multiLevelType w:val="hybridMultilevel"/>
    <w:tmpl w:val="BDD8780A"/>
    <w:lvl w:ilvl="0" w:tplc="A4AE48FC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D752B74"/>
    <w:multiLevelType w:val="hybridMultilevel"/>
    <w:tmpl w:val="9E7EEBFE"/>
    <w:lvl w:ilvl="0" w:tplc="D2744B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A34F54"/>
    <w:multiLevelType w:val="hybridMultilevel"/>
    <w:tmpl w:val="37A04C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DE1D20"/>
    <w:multiLevelType w:val="multilevel"/>
    <w:tmpl w:val="F82EC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1D865CD"/>
    <w:multiLevelType w:val="hybridMultilevel"/>
    <w:tmpl w:val="DD1E8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31111"/>
    <w:multiLevelType w:val="hybridMultilevel"/>
    <w:tmpl w:val="9E7EEBFE"/>
    <w:lvl w:ilvl="0" w:tplc="D2744B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DF4015"/>
    <w:multiLevelType w:val="multilevel"/>
    <w:tmpl w:val="F82EC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B231B4"/>
    <w:multiLevelType w:val="hybridMultilevel"/>
    <w:tmpl w:val="97AC4116"/>
    <w:lvl w:ilvl="0" w:tplc="5C8A7D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1C5509"/>
    <w:multiLevelType w:val="hybridMultilevel"/>
    <w:tmpl w:val="D410F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CA45B0"/>
    <w:multiLevelType w:val="hybridMultilevel"/>
    <w:tmpl w:val="44AC11B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160FA0"/>
    <w:multiLevelType w:val="hybridMultilevel"/>
    <w:tmpl w:val="2292A018"/>
    <w:lvl w:ilvl="0" w:tplc="2000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06C17"/>
    <w:multiLevelType w:val="hybridMultilevel"/>
    <w:tmpl w:val="80467798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6"/>
  </w:num>
  <w:num w:numId="4">
    <w:abstractNumId w:val="28"/>
  </w:num>
  <w:num w:numId="5">
    <w:abstractNumId w:val="20"/>
  </w:num>
  <w:num w:numId="6">
    <w:abstractNumId w:val="3"/>
  </w:num>
  <w:num w:numId="7">
    <w:abstractNumId w:val="32"/>
  </w:num>
  <w:num w:numId="8">
    <w:abstractNumId w:val="19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22"/>
  </w:num>
  <w:num w:numId="14">
    <w:abstractNumId w:val="9"/>
  </w:num>
  <w:num w:numId="15">
    <w:abstractNumId w:val="17"/>
  </w:num>
  <w:num w:numId="16">
    <w:abstractNumId w:val="23"/>
  </w:num>
  <w:num w:numId="17">
    <w:abstractNumId w:val="14"/>
  </w:num>
  <w:num w:numId="18">
    <w:abstractNumId w:val="10"/>
  </w:num>
  <w:num w:numId="19">
    <w:abstractNumId w:val="21"/>
  </w:num>
  <w:num w:numId="20">
    <w:abstractNumId w:val="18"/>
  </w:num>
  <w:num w:numId="21">
    <w:abstractNumId w:val="27"/>
  </w:num>
  <w:num w:numId="22">
    <w:abstractNumId w:val="5"/>
  </w:num>
  <w:num w:numId="23">
    <w:abstractNumId w:val="24"/>
  </w:num>
  <w:num w:numId="24">
    <w:abstractNumId w:val="31"/>
  </w:num>
  <w:num w:numId="25">
    <w:abstractNumId w:val="15"/>
  </w:num>
  <w:num w:numId="26">
    <w:abstractNumId w:val="16"/>
  </w:num>
  <w:num w:numId="27">
    <w:abstractNumId w:val="13"/>
  </w:num>
  <w:num w:numId="28">
    <w:abstractNumId w:val="30"/>
  </w:num>
  <w:num w:numId="29">
    <w:abstractNumId w:val="0"/>
  </w:num>
  <w:num w:numId="30">
    <w:abstractNumId w:val="11"/>
  </w:num>
  <w:num w:numId="31">
    <w:abstractNumId w:val="25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wsjQ2MzewANJGZko6SsGpxcWZ+XkgBca1AFwaZewsAAAA"/>
  </w:docVars>
  <w:rsids>
    <w:rsidRoot w:val="00902454"/>
    <w:rsid w:val="0002274C"/>
    <w:rsid w:val="00043A25"/>
    <w:rsid w:val="00045150"/>
    <w:rsid w:val="000539BA"/>
    <w:rsid w:val="00053A42"/>
    <w:rsid w:val="00055876"/>
    <w:rsid w:val="00075A2E"/>
    <w:rsid w:val="000A4CFC"/>
    <w:rsid w:val="000B5D2A"/>
    <w:rsid w:val="000B5ED1"/>
    <w:rsid w:val="000D5FAF"/>
    <w:rsid w:val="000E54DE"/>
    <w:rsid w:val="00126F03"/>
    <w:rsid w:val="00136158"/>
    <w:rsid w:val="00140357"/>
    <w:rsid w:val="00153D9A"/>
    <w:rsid w:val="00153EDF"/>
    <w:rsid w:val="00154AAB"/>
    <w:rsid w:val="001649C3"/>
    <w:rsid w:val="00170F54"/>
    <w:rsid w:val="00185666"/>
    <w:rsid w:val="001959D2"/>
    <w:rsid w:val="001A045C"/>
    <w:rsid w:val="001C6083"/>
    <w:rsid w:val="001C769A"/>
    <w:rsid w:val="001D1BD0"/>
    <w:rsid w:val="002155F8"/>
    <w:rsid w:val="0021786A"/>
    <w:rsid w:val="00225417"/>
    <w:rsid w:val="0023302A"/>
    <w:rsid w:val="00246060"/>
    <w:rsid w:val="00251A28"/>
    <w:rsid w:val="00267961"/>
    <w:rsid w:val="0027630E"/>
    <w:rsid w:val="002965A5"/>
    <w:rsid w:val="002A3CD2"/>
    <w:rsid w:val="002B7A59"/>
    <w:rsid w:val="002C4495"/>
    <w:rsid w:val="002E26A8"/>
    <w:rsid w:val="002E53B5"/>
    <w:rsid w:val="002F58C3"/>
    <w:rsid w:val="00320F33"/>
    <w:rsid w:val="00332389"/>
    <w:rsid w:val="003344DB"/>
    <w:rsid w:val="00344C30"/>
    <w:rsid w:val="00367636"/>
    <w:rsid w:val="003761A2"/>
    <w:rsid w:val="003806F5"/>
    <w:rsid w:val="00385AEF"/>
    <w:rsid w:val="00385B28"/>
    <w:rsid w:val="003B71F8"/>
    <w:rsid w:val="003C78B1"/>
    <w:rsid w:val="003E67A6"/>
    <w:rsid w:val="003F65E3"/>
    <w:rsid w:val="004462C2"/>
    <w:rsid w:val="004C342E"/>
    <w:rsid w:val="004C3BE3"/>
    <w:rsid w:val="004E2D19"/>
    <w:rsid w:val="004F5565"/>
    <w:rsid w:val="004F7761"/>
    <w:rsid w:val="00522EFD"/>
    <w:rsid w:val="005400DA"/>
    <w:rsid w:val="00566C5F"/>
    <w:rsid w:val="005C4630"/>
    <w:rsid w:val="005D2561"/>
    <w:rsid w:val="00610531"/>
    <w:rsid w:val="00610D2D"/>
    <w:rsid w:val="00621F8D"/>
    <w:rsid w:val="00637DA2"/>
    <w:rsid w:val="00637E1D"/>
    <w:rsid w:val="0064443C"/>
    <w:rsid w:val="006530B2"/>
    <w:rsid w:val="00683C5E"/>
    <w:rsid w:val="006F38F0"/>
    <w:rsid w:val="00715988"/>
    <w:rsid w:val="007241F1"/>
    <w:rsid w:val="007307D5"/>
    <w:rsid w:val="00737EE1"/>
    <w:rsid w:val="00765B65"/>
    <w:rsid w:val="00767F1F"/>
    <w:rsid w:val="00774F5F"/>
    <w:rsid w:val="00794502"/>
    <w:rsid w:val="00794754"/>
    <w:rsid w:val="0079600B"/>
    <w:rsid w:val="007D58C1"/>
    <w:rsid w:val="007D65A0"/>
    <w:rsid w:val="007E3588"/>
    <w:rsid w:val="0080179D"/>
    <w:rsid w:val="008264AE"/>
    <w:rsid w:val="008266D5"/>
    <w:rsid w:val="0083740A"/>
    <w:rsid w:val="0086299C"/>
    <w:rsid w:val="00862F5E"/>
    <w:rsid w:val="00873A9A"/>
    <w:rsid w:val="008A2354"/>
    <w:rsid w:val="008A6F6A"/>
    <w:rsid w:val="008B2183"/>
    <w:rsid w:val="008B5696"/>
    <w:rsid w:val="008C4B94"/>
    <w:rsid w:val="008D0012"/>
    <w:rsid w:val="008F17AB"/>
    <w:rsid w:val="008F268B"/>
    <w:rsid w:val="00902454"/>
    <w:rsid w:val="00904DEE"/>
    <w:rsid w:val="00921C03"/>
    <w:rsid w:val="00925AAC"/>
    <w:rsid w:val="00927CD6"/>
    <w:rsid w:val="0095677B"/>
    <w:rsid w:val="0096236C"/>
    <w:rsid w:val="00983040"/>
    <w:rsid w:val="00992577"/>
    <w:rsid w:val="0099503F"/>
    <w:rsid w:val="009A3FAE"/>
    <w:rsid w:val="009C40C1"/>
    <w:rsid w:val="00A340EF"/>
    <w:rsid w:val="00A45C9B"/>
    <w:rsid w:val="00A863F6"/>
    <w:rsid w:val="00A9138F"/>
    <w:rsid w:val="00AB6480"/>
    <w:rsid w:val="00AB7D88"/>
    <w:rsid w:val="00AC6BE0"/>
    <w:rsid w:val="00B02FB6"/>
    <w:rsid w:val="00B16B2D"/>
    <w:rsid w:val="00B56BCA"/>
    <w:rsid w:val="00B763A0"/>
    <w:rsid w:val="00BA770E"/>
    <w:rsid w:val="00BC2DC9"/>
    <w:rsid w:val="00BC62B4"/>
    <w:rsid w:val="00BC7357"/>
    <w:rsid w:val="00BC7A33"/>
    <w:rsid w:val="00BD305D"/>
    <w:rsid w:val="00BE74D5"/>
    <w:rsid w:val="00BF1C12"/>
    <w:rsid w:val="00C07E9D"/>
    <w:rsid w:val="00C17913"/>
    <w:rsid w:val="00C57936"/>
    <w:rsid w:val="00C72564"/>
    <w:rsid w:val="00C875DA"/>
    <w:rsid w:val="00CB7EEB"/>
    <w:rsid w:val="00CC6507"/>
    <w:rsid w:val="00CD5CC0"/>
    <w:rsid w:val="00CE7B93"/>
    <w:rsid w:val="00CF653D"/>
    <w:rsid w:val="00D02CD5"/>
    <w:rsid w:val="00D03EEE"/>
    <w:rsid w:val="00D356F6"/>
    <w:rsid w:val="00D4732D"/>
    <w:rsid w:val="00D55766"/>
    <w:rsid w:val="00D90E47"/>
    <w:rsid w:val="00DA0462"/>
    <w:rsid w:val="00DC3DC1"/>
    <w:rsid w:val="00DC77B6"/>
    <w:rsid w:val="00DE244C"/>
    <w:rsid w:val="00E05627"/>
    <w:rsid w:val="00E3038A"/>
    <w:rsid w:val="00E3573A"/>
    <w:rsid w:val="00E450AA"/>
    <w:rsid w:val="00EB36F7"/>
    <w:rsid w:val="00F10992"/>
    <w:rsid w:val="00F477CA"/>
    <w:rsid w:val="00F57BDF"/>
    <w:rsid w:val="00F61641"/>
    <w:rsid w:val="00F73185"/>
    <w:rsid w:val="00F734A4"/>
    <w:rsid w:val="00F73EAB"/>
    <w:rsid w:val="00FA3167"/>
    <w:rsid w:val="00FA79D8"/>
    <w:rsid w:val="00FC5CFE"/>
    <w:rsid w:val="00F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B7CA"/>
  <w15:chartTrackingRefBased/>
  <w15:docId w15:val="{D957A7A9-B062-447E-9E5B-524B71DD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577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99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0245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02454"/>
    <w:pPr>
      <w:widowControl w:val="0"/>
      <w:ind w:left="1160" w:hanging="720"/>
    </w:pPr>
    <w:rPr>
      <w:rFonts w:eastAsia="Times New Roman"/>
      <w:sz w:val="22"/>
      <w:szCs w:val="22"/>
    </w:rPr>
  </w:style>
  <w:style w:type="character" w:customStyle="1" w:styleId="BodyTextChar">
    <w:name w:val="Body Text Char"/>
    <w:link w:val="BodyText"/>
    <w:uiPriority w:val="1"/>
    <w:rsid w:val="00902454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2C4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4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C4495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4495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449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65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8629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83C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83C5E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3C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83C5E"/>
    <w:rPr>
      <w:rFonts w:eastAsia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F268B"/>
    <w:pPr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60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083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C6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D7179-56AE-8E48-A993-91B8C7C7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Abimbola Olusola</cp:lastModifiedBy>
  <cp:revision>5</cp:revision>
  <cp:lastPrinted>2018-08-27T17:03:00Z</cp:lastPrinted>
  <dcterms:created xsi:type="dcterms:W3CDTF">2021-05-06T14:42:00Z</dcterms:created>
  <dcterms:modified xsi:type="dcterms:W3CDTF">2021-05-18T10:19:00Z</dcterms:modified>
</cp:coreProperties>
</file>